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1AEA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</w:t>
      </w: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1AEA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Утверждено</w:t>
      </w: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1AEA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1AEA">
        <w:rPr>
          <w:rFonts w:ascii="Times New Roman" w:eastAsia="Calibri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1A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F95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17.10.2025 г. </w:t>
      </w:r>
      <w:r w:rsidRPr="00DC1AEA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F95B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F95BFA">
        <w:rPr>
          <w:rFonts w:ascii="Times New Roman" w:eastAsia="Calibri" w:hAnsi="Times New Roman" w:cs="Times New Roman"/>
          <w:sz w:val="28"/>
          <w:szCs w:val="28"/>
          <w:lang w:eastAsia="ru-RU"/>
        </w:rPr>
        <w:t>381</w:t>
      </w:r>
      <w:bookmarkEnd w:id="0"/>
      <w:r w:rsidR="00F95BFA">
        <w:rPr>
          <w:rFonts w:ascii="Times New Roman" w:eastAsia="Calibri" w:hAnsi="Times New Roman" w:cs="Times New Roman"/>
          <w:sz w:val="28"/>
          <w:szCs w:val="28"/>
          <w:lang w:eastAsia="ru-RU"/>
        </w:rPr>
        <w:t>-П/</w:t>
      </w:r>
      <w:proofErr w:type="gramStart"/>
      <w:r w:rsidR="00F95BFA">
        <w:rPr>
          <w:rFonts w:ascii="Times New Roman" w:eastAsia="Calibri" w:hAnsi="Times New Roman" w:cs="Times New Roman"/>
          <w:sz w:val="28"/>
          <w:szCs w:val="28"/>
          <w:lang w:eastAsia="ru-RU"/>
        </w:rPr>
        <w:t>АДМ</w:t>
      </w:r>
      <w:proofErr w:type="gramEnd"/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DC1AE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ПРОГНОЗ </w:t>
      </w:r>
      <w:proofErr w:type="gramStart"/>
      <w:r w:rsidRPr="00DC1AE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СОЦИАЛЬНО-ЭКОНОМИЧЕСКОГО</w:t>
      </w:r>
      <w:proofErr w:type="gramEnd"/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DC1AE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РАЗВИТИЯ ЗЛАТОУСТОВСКОГО ГОРОДСКОГО ОКРУГА</w:t>
      </w: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DC1AE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НА 2026 ГОД И ПЛАНОВЫЙ ПЕРИОД 2027</w:t>
      </w:r>
      <w:proofErr w:type="gramStart"/>
      <w:r w:rsidRPr="00DC1AE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И</w:t>
      </w:r>
      <w:proofErr w:type="gramEnd"/>
      <w:r w:rsidRPr="00DC1AEA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2028 ГОДОВ</w:t>
      </w: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C1AEA" w:rsidRPr="00DC1AEA" w:rsidRDefault="00DC1AEA" w:rsidP="00DC1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C1AEA" w:rsidRPr="00DC1AEA" w:rsidRDefault="00DC1AEA" w:rsidP="00DC1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AEA" w:rsidRPr="00DC1AEA" w:rsidRDefault="00DC1AEA" w:rsidP="00DC1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AEA" w:rsidRPr="00DC1AEA" w:rsidRDefault="00DC1AEA" w:rsidP="00DC1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AEA" w:rsidRPr="00DC1AEA" w:rsidRDefault="00DC1AEA" w:rsidP="00DC1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AEA" w:rsidRPr="00DC1AEA" w:rsidRDefault="00DC1AEA" w:rsidP="00DC1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AEA" w:rsidRPr="00DC1AEA" w:rsidRDefault="00DC1AEA" w:rsidP="00DC1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AEA" w:rsidRPr="00DC1AEA" w:rsidRDefault="00DC1AEA" w:rsidP="00DC1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AEA" w:rsidRPr="00DC1AEA" w:rsidRDefault="00DC1AEA" w:rsidP="00DC1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AEA" w:rsidRPr="00DC1AEA" w:rsidRDefault="00DC1AEA" w:rsidP="00DC1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AEA" w:rsidRPr="00DC1AEA" w:rsidRDefault="00DC1AEA" w:rsidP="00DC1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AEA" w:rsidRPr="00DC1AEA" w:rsidRDefault="00DC1AEA" w:rsidP="00DC1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3290" w:rsidRDefault="00CF3290" w:rsidP="00DC1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3290" w:rsidRDefault="00CF3290" w:rsidP="00DC1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3290" w:rsidRDefault="00CF3290" w:rsidP="00DC1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3290" w:rsidRPr="00DC1AEA" w:rsidRDefault="00CF3290" w:rsidP="00DC1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AEA" w:rsidRPr="00DC1AEA" w:rsidRDefault="00DC1AEA" w:rsidP="00DC1AE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C1A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Златоуст</w:t>
      </w:r>
    </w:p>
    <w:p w:rsidR="00DC1AEA" w:rsidRDefault="00DC1AEA" w:rsidP="00DC1AE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C1A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2025 год</w:t>
      </w:r>
    </w:p>
    <w:p w:rsidR="00CF3290" w:rsidRDefault="00CF3290" w:rsidP="00DC1AE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9"/>
        <w:gridCol w:w="730"/>
      </w:tblGrid>
      <w:tr w:rsidR="007715CA" w:rsidRPr="007715CA" w:rsidTr="007715CA">
        <w:trPr>
          <w:gridAfter w:val="1"/>
          <w:wAfter w:w="369" w:type="pct"/>
          <w:trHeight w:val="340"/>
        </w:trPr>
        <w:tc>
          <w:tcPr>
            <w:tcW w:w="4631" w:type="pct"/>
          </w:tcPr>
          <w:p w:rsidR="007715CA" w:rsidRDefault="007715CA" w:rsidP="007715CA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7715CA" w:rsidRDefault="007715CA" w:rsidP="007715CA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715CA">
              <w:rPr>
                <w:rFonts w:eastAsia="Times New Roman"/>
                <w:bCs/>
                <w:sz w:val="28"/>
                <w:szCs w:val="28"/>
              </w:rPr>
              <w:t>СОДЕРЖАНИЕ</w:t>
            </w:r>
          </w:p>
          <w:p w:rsidR="007715CA" w:rsidRPr="007715CA" w:rsidRDefault="007715CA" w:rsidP="007715CA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715CA" w:rsidRPr="007715CA" w:rsidTr="007715CA">
        <w:trPr>
          <w:trHeight w:val="340"/>
        </w:trPr>
        <w:tc>
          <w:tcPr>
            <w:tcW w:w="4631" w:type="pct"/>
          </w:tcPr>
          <w:p w:rsidR="007715CA" w:rsidRPr="007715CA" w:rsidRDefault="007715CA" w:rsidP="007715C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ОСНОВЫ РАЗРАБОТКИ </w:t>
            </w:r>
            <w:r w:rsidRPr="007715CA">
              <w:rPr>
                <w:rFonts w:eastAsia="Times New Roman"/>
                <w:bCs/>
                <w:sz w:val="24"/>
                <w:szCs w:val="24"/>
              </w:rPr>
              <w:t>ПРОГНОЗА СОЦИАЛЬНО-ЭКОНОМИЧЕСКОГ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О РАЗВИТИЯ ЗЛАТОУСТОВСКОГО ГОРОДСКОГО </w:t>
            </w:r>
            <w:r w:rsidRPr="007715CA">
              <w:rPr>
                <w:rFonts w:eastAsia="Times New Roman"/>
                <w:bCs/>
                <w:sz w:val="24"/>
                <w:szCs w:val="24"/>
              </w:rPr>
              <w:t>ОКРУГА</w:t>
            </w:r>
            <w:r>
              <w:rPr>
                <w:rFonts w:eastAsia="Times New Roman"/>
                <w:bCs/>
                <w:webHidden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369" w:type="pct"/>
            <w:vAlign w:val="bottom"/>
          </w:tcPr>
          <w:p w:rsidR="007715CA" w:rsidRPr="007715CA" w:rsidRDefault="007715CA" w:rsidP="007715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15CA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</w:tr>
      <w:tr w:rsidR="007715CA" w:rsidRPr="007715CA" w:rsidTr="007715CA">
        <w:trPr>
          <w:trHeight w:val="340"/>
        </w:trPr>
        <w:tc>
          <w:tcPr>
            <w:tcW w:w="4631" w:type="pct"/>
          </w:tcPr>
          <w:p w:rsidR="007715CA" w:rsidRPr="007715CA" w:rsidRDefault="007715CA" w:rsidP="007715CA">
            <w:pPr>
              <w:ind w:left="851"/>
              <w:rPr>
                <w:rFonts w:eastAsia="Times New Roman"/>
                <w:bCs/>
                <w:sz w:val="24"/>
                <w:szCs w:val="24"/>
              </w:rPr>
            </w:pPr>
            <w:r w:rsidRPr="007715CA">
              <w:rPr>
                <w:rFonts w:eastAsia="Times New Roman"/>
                <w:bCs/>
                <w:sz w:val="24"/>
                <w:szCs w:val="24"/>
              </w:rPr>
              <w:t>Основные показатели прогноза социально-экономического развития Златоустовского городского округа на 2026-2028 годы</w:t>
            </w:r>
            <w:r>
              <w:rPr>
                <w:rFonts w:eastAsia="Times New Roman"/>
                <w:bCs/>
                <w:webHidden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369" w:type="pct"/>
            <w:vAlign w:val="bottom"/>
          </w:tcPr>
          <w:p w:rsidR="007715CA" w:rsidRPr="007715CA" w:rsidRDefault="00F619D0" w:rsidP="007715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</w:tr>
      <w:tr w:rsidR="007715CA" w:rsidRPr="007715CA" w:rsidTr="007715CA">
        <w:trPr>
          <w:trHeight w:val="340"/>
        </w:trPr>
        <w:tc>
          <w:tcPr>
            <w:tcW w:w="4631" w:type="pct"/>
          </w:tcPr>
          <w:p w:rsidR="007715CA" w:rsidRPr="007715CA" w:rsidRDefault="007715CA" w:rsidP="007715C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15CA">
              <w:rPr>
                <w:rFonts w:eastAsia="Times New Roman"/>
                <w:bCs/>
                <w:sz w:val="24"/>
                <w:szCs w:val="24"/>
              </w:rPr>
              <w:t>СРЕДНЕГОДОВАЯ ЧИСЛЕННОСТЬ ПОСТОЯННОГО НАСЕЛЕНИЯ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                   </w:t>
            </w:r>
          </w:p>
        </w:tc>
        <w:tc>
          <w:tcPr>
            <w:tcW w:w="369" w:type="pct"/>
            <w:vAlign w:val="bottom"/>
          </w:tcPr>
          <w:p w:rsidR="007715CA" w:rsidRPr="007715CA" w:rsidRDefault="00F619D0" w:rsidP="007715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</w:tr>
      <w:tr w:rsidR="007715CA" w:rsidRPr="007715CA" w:rsidTr="007715CA">
        <w:trPr>
          <w:trHeight w:val="340"/>
        </w:trPr>
        <w:tc>
          <w:tcPr>
            <w:tcW w:w="4631" w:type="pct"/>
          </w:tcPr>
          <w:p w:rsidR="007715CA" w:rsidRPr="007715CA" w:rsidRDefault="007715CA" w:rsidP="007715C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15CA">
              <w:rPr>
                <w:rFonts w:eastAsia="Times New Roman"/>
                <w:bCs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КРУПНЫМИ И СРЕДНИМИ ОРГАНИЗАЦИЯМИ ПО «ЧИСТЫМ» ВИДАМ ЭКОНОМИЧЕСКОЙ ДЕЯТЕЛЬНОСТИ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369" w:type="pct"/>
            <w:vAlign w:val="bottom"/>
          </w:tcPr>
          <w:p w:rsidR="007715CA" w:rsidRPr="007715CA" w:rsidRDefault="00F619D0" w:rsidP="007715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</w:t>
            </w:r>
          </w:p>
        </w:tc>
      </w:tr>
      <w:tr w:rsidR="007715CA" w:rsidRPr="007715CA" w:rsidTr="007715CA">
        <w:trPr>
          <w:trHeight w:val="340"/>
        </w:trPr>
        <w:tc>
          <w:tcPr>
            <w:tcW w:w="4631" w:type="pct"/>
          </w:tcPr>
          <w:p w:rsidR="007715CA" w:rsidRPr="007715CA" w:rsidRDefault="007715CA" w:rsidP="007715C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15CA">
              <w:rPr>
                <w:rFonts w:eastAsia="Times New Roman"/>
                <w:bCs/>
                <w:sz w:val="24"/>
                <w:szCs w:val="24"/>
              </w:rPr>
              <w:t>ИНДЕКС ПРОИЗВОДСТВА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369" w:type="pct"/>
            <w:vAlign w:val="bottom"/>
          </w:tcPr>
          <w:p w:rsidR="007715CA" w:rsidRPr="007715CA" w:rsidRDefault="00F619D0" w:rsidP="007715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13</w:t>
            </w:r>
          </w:p>
        </w:tc>
      </w:tr>
      <w:tr w:rsidR="007715CA" w:rsidRPr="007715CA" w:rsidTr="007715CA">
        <w:trPr>
          <w:trHeight w:val="340"/>
        </w:trPr>
        <w:tc>
          <w:tcPr>
            <w:tcW w:w="4631" w:type="pct"/>
          </w:tcPr>
          <w:p w:rsidR="007715CA" w:rsidRPr="007715CA" w:rsidRDefault="007715CA" w:rsidP="007715C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15CA">
              <w:rPr>
                <w:rFonts w:eastAsia="Times New Roman"/>
                <w:bCs/>
                <w:sz w:val="24"/>
                <w:szCs w:val="24"/>
              </w:rPr>
              <w:t>ОПЛАТА ТРУДА НАЕМНЫХ РАБОТНИКОВ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369" w:type="pct"/>
            <w:vAlign w:val="bottom"/>
          </w:tcPr>
          <w:p w:rsidR="007715CA" w:rsidRPr="007715CA" w:rsidRDefault="00F619D0" w:rsidP="007715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13</w:t>
            </w:r>
          </w:p>
        </w:tc>
      </w:tr>
      <w:tr w:rsidR="007715CA" w:rsidRPr="007715CA" w:rsidTr="007715CA">
        <w:trPr>
          <w:trHeight w:val="340"/>
        </w:trPr>
        <w:tc>
          <w:tcPr>
            <w:tcW w:w="4631" w:type="pct"/>
          </w:tcPr>
          <w:p w:rsidR="007715CA" w:rsidRPr="007715CA" w:rsidRDefault="007715CA" w:rsidP="007715C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15CA">
              <w:rPr>
                <w:rFonts w:eastAsia="Times New Roman"/>
                <w:bCs/>
                <w:sz w:val="24"/>
                <w:szCs w:val="24"/>
              </w:rPr>
              <w:t>СРЕДНЕСПИСОЧНАЯ ЧИСЛЕННОСТЬ РАБОТНИКОВ (БЕЗ ВНЕШНИХ СОВМЕСТИТЕЛЕЙ)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369" w:type="pct"/>
            <w:vAlign w:val="bottom"/>
          </w:tcPr>
          <w:p w:rsidR="007715CA" w:rsidRPr="007715CA" w:rsidRDefault="00F619D0" w:rsidP="007715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15</w:t>
            </w:r>
          </w:p>
        </w:tc>
      </w:tr>
      <w:tr w:rsidR="007715CA" w:rsidRPr="007715CA" w:rsidTr="007715CA">
        <w:trPr>
          <w:trHeight w:val="340"/>
        </w:trPr>
        <w:tc>
          <w:tcPr>
            <w:tcW w:w="4631" w:type="pct"/>
          </w:tcPr>
          <w:p w:rsidR="007715CA" w:rsidRPr="007715CA" w:rsidRDefault="007715CA" w:rsidP="007715C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15CA">
              <w:rPr>
                <w:rFonts w:eastAsia="Times New Roman"/>
                <w:bCs/>
                <w:sz w:val="24"/>
                <w:szCs w:val="24"/>
              </w:rPr>
              <w:t>ОБЪЕМ ПРОДУКЦИИ СЕЛЬСКОГО ХОЗЯЙСТВА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369" w:type="pct"/>
            <w:vAlign w:val="bottom"/>
          </w:tcPr>
          <w:p w:rsidR="007715CA" w:rsidRPr="007715CA" w:rsidRDefault="007715CA" w:rsidP="00F619D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15CA">
              <w:rPr>
                <w:rFonts w:eastAsia="Times New Roman"/>
                <w:bCs/>
                <w:sz w:val="24"/>
                <w:szCs w:val="24"/>
              </w:rPr>
              <w:t>1</w:t>
            </w:r>
            <w:r w:rsidR="00F619D0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</w:tr>
      <w:tr w:rsidR="007715CA" w:rsidRPr="007715CA" w:rsidTr="007715CA">
        <w:trPr>
          <w:trHeight w:val="340"/>
        </w:trPr>
        <w:tc>
          <w:tcPr>
            <w:tcW w:w="4631" w:type="pct"/>
          </w:tcPr>
          <w:p w:rsidR="007715CA" w:rsidRPr="007715CA" w:rsidRDefault="007715CA" w:rsidP="007715C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15CA">
              <w:rPr>
                <w:rFonts w:eastAsia="Times New Roman"/>
                <w:bCs/>
                <w:sz w:val="24"/>
                <w:szCs w:val="24"/>
              </w:rPr>
              <w:t>ОБЪЕМ ИНВЕСТИЦИЙ В ОСНОВНОЙ КАПИТАЛ ЗА СЧЕТ ВСЕХ ИСТОЧНИКОВ ФИНАНСИРОВАНИЯ ПО КРУПНЫМ И СРЕДНИМ ОРГАНИЗАЦИЯМ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369" w:type="pct"/>
            <w:vAlign w:val="bottom"/>
          </w:tcPr>
          <w:p w:rsidR="007715CA" w:rsidRPr="007715CA" w:rsidRDefault="00F619D0" w:rsidP="007715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</w:t>
            </w:r>
          </w:p>
        </w:tc>
      </w:tr>
      <w:tr w:rsidR="007715CA" w:rsidRPr="007715CA" w:rsidTr="007715CA">
        <w:trPr>
          <w:trHeight w:val="340"/>
        </w:trPr>
        <w:tc>
          <w:tcPr>
            <w:tcW w:w="4631" w:type="pct"/>
          </w:tcPr>
          <w:p w:rsidR="007715CA" w:rsidRPr="007715CA" w:rsidRDefault="007715CA" w:rsidP="007715C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15CA">
              <w:rPr>
                <w:rFonts w:eastAsia="Times New Roman"/>
                <w:bCs/>
                <w:sz w:val="24"/>
                <w:szCs w:val="24"/>
              </w:rPr>
              <w:t>СРЕДНЕГОДОВАЯ СТОИМОСТЬ ИМУЩЕСТВА, ОБЛАГАЕМОГО НАЛОГОМ НА ИМУЩЕСТВО ОРГАНИЗАЦИЙ В СООТВЕТСТВИИ С ПУНКТОМ 1 СТАТЬИ 375 НАЛОГОВОГО КОДЕКСА РОССИЙСКОЙ ФЕДЕРАЦИИ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                </w:t>
            </w:r>
          </w:p>
        </w:tc>
        <w:tc>
          <w:tcPr>
            <w:tcW w:w="369" w:type="pct"/>
            <w:vAlign w:val="bottom"/>
          </w:tcPr>
          <w:p w:rsidR="007715CA" w:rsidRPr="007715CA" w:rsidRDefault="00F619D0" w:rsidP="007715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22</w:t>
            </w:r>
          </w:p>
        </w:tc>
      </w:tr>
      <w:tr w:rsidR="007715CA" w:rsidRPr="007715CA" w:rsidTr="007715CA">
        <w:trPr>
          <w:trHeight w:val="340"/>
        </w:trPr>
        <w:tc>
          <w:tcPr>
            <w:tcW w:w="4631" w:type="pct"/>
          </w:tcPr>
          <w:p w:rsidR="007715CA" w:rsidRPr="007715CA" w:rsidRDefault="007715CA" w:rsidP="007715C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15CA">
              <w:rPr>
                <w:rFonts w:eastAsia="Times New Roman"/>
                <w:bCs/>
                <w:sz w:val="24"/>
                <w:szCs w:val="24"/>
              </w:rPr>
              <w:t>ИНФОРМАЦИЯ ДЛЯ СВЕДЕНИЯ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369" w:type="pct"/>
            <w:vAlign w:val="bottom"/>
          </w:tcPr>
          <w:p w:rsidR="007715CA" w:rsidRPr="007715CA" w:rsidRDefault="00F619D0" w:rsidP="007715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24</w:t>
            </w:r>
          </w:p>
        </w:tc>
      </w:tr>
      <w:tr w:rsidR="007715CA" w:rsidRPr="007715CA" w:rsidTr="007715CA">
        <w:trPr>
          <w:trHeight w:val="340"/>
        </w:trPr>
        <w:tc>
          <w:tcPr>
            <w:tcW w:w="4631" w:type="pct"/>
          </w:tcPr>
          <w:p w:rsidR="007715CA" w:rsidRPr="007715CA" w:rsidRDefault="007715CA" w:rsidP="007715C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715CA">
              <w:rPr>
                <w:rFonts w:eastAsia="Times New Roman"/>
                <w:bCs/>
                <w:sz w:val="24"/>
                <w:szCs w:val="24"/>
              </w:rPr>
              <w:t>ОСНОВНЫЕ ПАРАМЕТРЫ МУНИЦИПАЛЬНЫХ ПРОГРАММ ЗЛАТОУСТОВСКОГО ГОРОДСКОГО ОКРУГА, ЗА СЧЕТ КОТОРЫХ БУДЕТ ОБЕСПЕЧЕНО ДОСТИЖЕНИЕ ПРОГНОЗИРУЕМЫХ ЗНАЧЕНИЙ ОСНОВНЫХ ПОКАЗАТЕЛЕЙ СОЦИАЛЬНО-ЭКОНОМИЧЕСКОГО РАЗВИТИЯ ЗЛАТОУСТОВСКОГО ГОРОДСКОГО ОКРУГА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369" w:type="pct"/>
            <w:vAlign w:val="bottom"/>
          </w:tcPr>
          <w:p w:rsidR="007715CA" w:rsidRPr="007715CA" w:rsidRDefault="007715CA" w:rsidP="00F619D0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715CA">
              <w:rPr>
                <w:rFonts w:eastAsia="Times New Roman"/>
                <w:bCs/>
                <w:sz w:val="24"/>
                <w:szCs w:val="24"/>
              </w:rPr>
              <w:t>2</w:t>
            </w:r>
            <w:r w:rsidR="00F619D0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</w:tr>
    </w:tbl>
    <w:p w:rsidR="00DC1AEA" w:rsidRPr="00DC1AEA" w:rsidRDefault="00DC1AEA" w:rsidP="004376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275BE" w:rsidRDefault="003275BE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A9" w:rsidRDefault="004376A9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A9" w:rsidRDefault="004376A9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A9" w:rsidRDefault="004376A9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A9" w:rsidRDefault="004376A9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A9" w:rsidRDefault="004376A9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A9" w:rsidRDefault="004376A9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A9" w:rsidRDefault="004376A9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A9" w:rsidRDefault="004376A9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A9" w:rsidRDefault="004376A9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6A9" w:rsidRDefault="004376A9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8D" w:rsidRDefault="0019748D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8D" w:rsidRDefault="0019748D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8D" w:rsidRDefault="0019748D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8D" w:rsidRDefault="0019748D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8D" w:rsidRDefault="0019748D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48D" w:rsidRDefault="0019748D" w:rsidP="0043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941" w:rsidRPr="00CA0941" w:rsidRDefault="00CA0941" w:rsidP="00CA0941">
      <w:pPr>
        <w:keepNext/>
        <w:tabs>
          <w:tab w:val="left" w:pos="720"/>
        </w:tabs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bookmarkStart w:id="1" w:name="_Toc211243191"/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lastRenderedPageBreak/>
        <w:t>ОСНОВЫ РАЗРАБОТКИ</w:t>
      </w:r>
      <w:r w:rsidRPr="00CA094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ПРОГНОЗА СОЦИ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АЛЬНО-ЭКОНОМИЧЕСКОГО РАЗВИТИЯ ЗЛАТОУСТОВСКОГО ГОРОДСКОГО </w:t>
      </w:r>
      <w:r w:rsidRPr="00CA094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ОКРУГА</w:t>
      </w:r>
      <w:bookmarkEnd w:id="1"/>
    </w:p>
    <w:p w:rsidR="00CA0941" w:rsidRPr="00CA0941" w:rsidRDefault="00CA0941" w:rsidP="00CA0941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941" w:rsidRPr="00CA0941" w:rsidRDefault="00CA0941" w:rsidP="00CA0941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социально-экономического развития (далее – Прогноз)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 является основой для разработки бюджета Златоустовского городского округа (далее – округ) на 2026 год.</w:t>
      </w:r>
    </w:p>
    <w:p w:rsidR="00CA0941" w:rsidRPr="00CA0941" w:rsidRDefault="00CA0941" w:rsidP="00CA0941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подготовлен в соответствии с требованиями федерального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регионального законодательства, на основе разработанных Министерством экономического развития Российской Федерации сценарных условий функционирования экономики Российской Федерации и основных параметров Прогноза Российской Федерации, Челябинской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прогнозируемых цен (тарифов) на товары, услуги хозяйствующих субъектов, осуществляющих регулируемые виды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инфраструктурном секторе,  на 2026 год и на плановый период 2027 и 2028 годов, а</w:t>
      </w:r>
      <w:proofErr w:type="gramEnd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 учетом  тенденций итогов социально-экономического развития округа, которые сложились в первые шесть месяцев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прогнозных планов крупных и средних организаций округа.</w:t>
      </w:r>
    </w:p>
    <w:p w:rsidR="00CA0941" w:rsidRPr="00CA0941" w:rsidRDefault="00CA0941" w:rsidP="00CA0941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сценарных условий и основных макроэкономических параметров социально-экономического развития округа на 2026-2028 годы разработан в составе двух основных вариантов – консервативного и базового. </w:t>
      </w:r>
      <w:proofErr w:type="gramEnd"/>
    </w:p>
    <w:p w:rsidR="00CA0941" w:rsidRPr="00CA0941" w:rsidRDefault="00CA0941" w:rsidP="00CA0941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консервативный вариант прогноза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заложена предпосылка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более</w:t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существенном замедлении экономического развития России.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базовом варианте Прогноза предусматривается  наиболее вероятный сценарий развития экономики с учетом относительно оптимистичных изменений внешних условий.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 условия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г. мировая экономика показала умеренные темпы развития: </w:t>
      </w:r>
      <w:r w:rsidR="007D46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фоне увеличения мировой торговли наблюдалось более медленное, </w:t>
      </w:r>
      <w:r w:rsidR="007D46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ожидалось, снижение инфляции, при этом в отдельных крупнейших экономиках фиксировалось замедление прироста ВВП (США - до 2,8% </w:t>
      </w:r>
      <w:r w:rsidR="007D46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г. против 2,9% в 2023 г.; Китай - до 4,8% в 2024 г. против 5,2% </w:t>
      </w:r>
      <w:r w:rsidR="007D46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г.; Япония - до 0,1% в 2024 г. против</w:t>
      </w:r>
      <w:proofErr w:type="gramEnd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1,5% в 2023 году).</w:t>
      </w:r>
      <w:proofErr w:type="gramEnd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оценкам Международного валютного фонда, по итогам 2024 г. мировой ВВП увеличился на 3,2% (в 2023 г. - 3,3%), в развитых странах прирост составил 1,8% (в 2023 г. - 1,7%), в развивающихся странах - 4,2% (4,4% в 2023 году.).</w:t>
      </w:r>
    </w:p>
    <w:p w:rsidR="00CA0941" w:rsidRPr="00CA0941" w:rsidRDefault="00CA0941" w:rsidP="007D4678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Вследствие длительной жесткой денежно-кредитной политики центральных банков, а также снижающихся мировых цен на сырьевые товары (индекс цен на сырьевые товары Всемирного банка снизился с 108,0 </w:t>
      </w:r>
      <w:r w:rsidR="007D46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г. до 105,1 в 2024 г.) потребительская инфляция в среднем по миру сократилась до 5,7% после 6,7% в 2023 г., в том числе до 2,6% в развитых странах (4,6% в 2023 г.; целевой</w:t>
      </w:r>
      <w:proofErr w:type="gramEnd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- около 2%) и до 7,8% </w:t>
      </w:r>
      <w:r w:rsidR="007D46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развивающихся</w:t>
      </w:r>
      <w:proofErr w:type="gramEnd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(8,1% в 2023 г.; целевой уровень - около 4%).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Замедление инфляции позволило центральным банкам большинства стран мира начать смягчение денежно-кредитной политики во II полугодии 2024 года. Ставки ФРС США и ЕЦБ, достигавшие 5,5% и 4,5% годовых соответственно </w:t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(максимум с 2001 г.), начали снижаться в II-III кварталах 2024 г. и достигли 4,5% и 3,15% к концу года.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процентных ставок и мировых цен на сырье положительно отразилось на уровне промышленного производства: среднее значение мирового промышленного индекса PMI в 2024 г. составило 50,0 п. (49,2 п.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г., показатель ниже 50 п. означает сжатие, выше 50 п. - расширение). Спрос на услуги ускорился - PMI сферы услуг в среднем составил 53,1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п. (52,4 п. в 2023 году).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в марте-апреле 2025 года в мировой экономике усилилась неопределенность, связанная с объявленной жесткой протекционистской политикой США.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снижение темпов роста мировой экономики по сравнению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прогнозами от начала года составят порядка 0,2-0,3 </w:t>
      </w:r>
      <w:proofErr w:type="spellStart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то есть пройдет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нижней границе текущих прогнозов мировых организаций (текущий прогноз на 2025 год Всемирного банка - 2,7%, текущий прогноз МВФ - 3,3%, прогнозы других организаций в промежутке, при этом в прогнозы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частично заложена протекционистская политика США).</w:t>
      </w:r>
      <w:proofErr w:type="gramEnd"/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горизонте до 2028 г. темпы прироста мировой экономики стабилизируются на уровне 3,1% в год (развитых стран - 1,7% в год, развивающих стран - 3,9% в год). Основные риски: усиление политики протекционизма, замедление процесса </w:t>
      </w:r>
      <w:proofErr w:type="spellStart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дезинфляции</w:t>
      </w:r>
      <w:proofErr w:type="spellEnd"/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эскалация геополитической напряженности. На фоне торгового противостояния США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Китая прирост их экономик замедлится до уровня 2,1% и 3,4% в год соответственно. Экономики стран зоны евро будут расти темпами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1,3% в год.</w:t>
      </w:r>
    </w:p>
    <w:p w:rsidR="00CA0941" w:rsidRPr="00CA0941" w:rsidRDefault="00CA0941" w:rsidP="00CA0941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В период с января по июнь 2025 г. цены на энергоносители изменялись разнонаправленно. Стоимость нефти сохранила тренд на снижение (</w:t>
      </w:r>
      <w:proofErr w:type="spellStart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бэквордация</w:t>
      </w:r>
      <w:proofErr w:type="spellEnd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на фоне ожиданий наращивания добычи ОПЕК+,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также неопределенности в отношении темпов роста мирового спроса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фоне тарифной эскалации США. При этом отмечается возобновление роста цен на рынке природного газа, прежде всего обусловленное активным энергопотреблением в ЕС в условиях отказа от поставок газа из России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и обострением ирано-израильского конфликта.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условия</w:t>
      </w:r>
    </w:p>
    <w:p w:rsidR="00CA0941" w:rsidRPr="00CA0941" w:rsidRDefault="00CA0941" w:rsidP="00CA0941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оценке Минэкономразвития России, прирост ВВП за январь-июль 2025 года составил 1,1 % после 4,3 % за 2024 год в целом. Основная причина охлаждения экономики – замедление внутреннего спроса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как потребительского, так и инвестиционного на фоне жестких денежно-кредитных условий. </w:t>
      </w:r>
    </w:p>
    <w:p w:rsidR="00CA0941" w:rsidRPr="00CA0941" w:rsidRDefault="00CA0941" w:rsidP="00CA0941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Рост промышленного производства замедлился до 0,8 % за январь-июль 2025 года после 5,6 % за 2024 год в целом, в том числе по обрабатывающей промышленности – 3,3 % после 9,8 %. Замедление обусловлено динамикой всех групп товаров (инвестиционного, промежуточного и потребительского назначения). По итогам 2025 года прирост промышленного производства оценивается на уровне 1,5 %, в том числе обрабатывающей промышленности – 3,1 процента. </w:t>
      </w:r>
    </w:p>
    <w:p w:rsidR="00CA0941" w:rsidRPr="00CA0941" w:rsidRDefault="00CA0941" w:rsidP="00CA0941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По итогам года ожидается замедление динамики инвестиций в основной капитал, в том числе с учетом высокой базы прошлых лет (накопленный рост за период 2021-2024 годов составил 36,6 %) – рост в реальном выражении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на 1,7 % в 2025 году после роста на 7,4 % в 2024 году.</w:t>
      </w:r>
    </w:p>
    <w:p w:rsidR="00CA0941" w:rsidRPr="00CA0941" w:rsidRDefault="00CA0941" w:rsidP="00CA0941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Однако с начала 2025 года оформился тренд на замедление прироста основного компонента доходов – заработной платы – на фоне снижение спроса на кадры в экономике и общего уровня напряженности на рынке труда. Так, увеличение реальной заработной платы за </w:t>
      </w:r>
      <w:r w:rsidRPr="00CA0941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</w:t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полугодие 2025 года составило 4,1 % (9,7 % в 2024 году). По итогам 2025 года ожидается рост реальной заработной платы на уровне 3,4 % (номинальной – на 12,6 %) после высокой базы прошлых лет (накопленный рост за период 2023-2024 годы составил 18,7 % в реальном выражении).</w:t>
      </w:r>
    </w:p>
    <w:p w:rsidR="00CA0941" w:rsidRPr="00CA0941" w:rsidRDefault="00CA0941" w:rsidP="00CA0941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Ситуация на рынке труда в 2025 году продолжит оставаться стабильной – уровень безработицы по итогам года оценивается на уровне 2,3 %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рабочей силы. В мае-июле этого года он находится на исторических минимумах в 2,2 % от рабочей силы (2,3 % от рабочей силы за 7 месяцев 2025 год, 2,5 % в среднем за 2024 год). </w:t>
      </w:r>
    </w:p>
    <w:p w:rsidR="00CA0941" w:rsidRPr="00CA0941" w:rsidRDefault="00CA0941" w:rsidP="00CA0941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Инфляция в июле замедлилась до 8,8 % г. и до 8,1 % г. в августе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с пиковых уровней марта (10,3 % г.). По итогам 2025 года рост потребительских цен ожидается на уровне 6,8 % декабрь к декабрю.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параметры прогноза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Базовый вариант прогноза основан на предпосылках о сохранении текущего уровня </w:t>
      </w:r>
      <w:proofErr w:type="spellStart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санкционного</w:t>
      </w:r>
      <w:proofErr w:type="spellEnd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давления на российскую экономику. Влияние неопределенности в мировой </w:t>
      </w:r>
      <w:proofErr w:type="gramStart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экономике</w:t>
      </w:r>
      <w:proofErr w:type="gramEnd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фоне имеющейся жесткой риторике о протекционистской политике со стороны администрации США,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также возможных ответных мер их основных торговых партнеров будет ограниченным – по мере все большей адаптации участников международной торговли к регулярным заявлениям об изменении объемов пошлин, сроков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адресатов их введения рынки будут не так </w:t>
      </w:r>
      <w:proofErr w:type="spellStart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волатильно</w:t>
      </w:r>
      <w:proofErr w:type="spellEnd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реагировать на них, как в начале 2025 года. При этом частичная сегментация торговых связей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будет существенным образом влиять на динамику мировой экономики – спрос на товары традиционного экспорта России будет </w:t>
      </w:r>
      <w:proofErr w:type="gramStart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сохранятся</w:t>
      </w:r>
      <w:proofErr w:type="gramEnd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 стороны основных торговых партнеров. 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Цена нефти марки </w:t>
      </w:r>
      <w:proofErr w:type="spellStart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Брент</w:t>
      </w:r>
      <w:proofErr w:type="spellEnd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будет находиться в диапазоне 70-72 долл. США за баррель. Дисконт цены на нефти марки Юралс постепенно сократится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12 долл. США за баррель в 2025 году до 7 долл. США за </w:t>
      </w:r>
      <w:proofErr w:type="spellStart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барр</w:t>
      </w:r>
      <w:proofErr w:type="spellEnd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к 2028 году за счет оптимизации логистики и дальнейшей переориентации экспортных потоков. 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2026-2028 годах прогнозируется постепенное ослабление номинального курса (до 92,2 руб. за долл. США в среднем за 2026 год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далее до 100,1 руб. за долл. США в среднем за 2028 год). 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2026 года ожидается выход инфляции на уровень в 4,0 % г. (декабрь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декабрю), что соответствует </w:t>
      </w:r>
      <w:proofErr w:type="spellStart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таргету</w:t>
      </w:r>
      <w:proofErr w:type="spellEnd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Банка России. 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Основным фактором роста ВВП на среднесрочную перспективу станет внутренний спрос. 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 складывающихся жестких денежно-кредитных условиях в 2026 году инвестиционная активность сократится на 0,5 %. В 2027 и 2028 годах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учетом лагов смягчения денежно-кредитных условий ожидается возврат высоких темпов роста инвестиционной активности – до 3,8 % и 3,3 % соответственно. 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1 января 2026 года в совокупности МРОТ увеличится на 20,7 %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и составит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27 093 рубля. 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Ситуация на рынке труда продолжит оставаться стабильной благодаря реализации мер поддержки Правительства Российской Федерации, направленных на стимулирование занятости, а также повышение уровня подготовки и </w:t>
      </w:r>
      <w:proofErr w:type="spellStart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переподговки</w:t>
      </w:r>
      <w:proofErr w:type="spellEnd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рабочей силы к потребностям экономики. 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Экспорт товаров в 2026 году вырастет в реальном выражении на 3,1 %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учетом эффекта низкой базы 2025 года: нефтегазовый экспорт увеличится на 2,9 %, экспорт других отраслей – на 3,3 % к уровню предшествующего года. В 2027 - 2028 годах товарный экспорт будет расти в среднем на 4,9 %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год при опережающих темпах роста не нефтегазовой составляющей. 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Импорт товаров в 2026 году, по оценке, сохранится на уровне предыдущего года в реальном выражении. В 2027-2028 годах импорт товаров будет расти в среднем на 3,4 % в год. 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Траектория развития в 2026–2028 годы будет в значительной степени определяться эффективной реализацией мер экономической политики, прежде всего, реализацией утвержденных Национальных проектов, сбалансированной бюджетной политикой. А также за счет сбалансированной денежно-кредитной политики, учитывающей, наряду с целевым ориентиром по инфляции, необходимость в финансовых ресурсах для экономического развития. 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 стороны внешних условий ключевым риском остается возможное замедление темпов роста мировой экономики, что потенциально может отразиться на спросе на традиционные товары российского экспорта, выразиться в снижении экспортных цен на них. В свою очередь, это создает риски для развития отраслей, ориентированных на экспорт,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также для бюджета (прежде всего, в части нефтегазовых доходов). 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Внутренние риски связаны, прежде всего, с более длительным периодом сохранения жестких денежно-кредитных условий, что может негативно сказаться на инвестиционной и потребительской активности. В свою очередь, это формирует и определенные бюджетные риски, связанные с сокращением доходных поступлений в бюджет и, как следствие, сокращением отдельных расходных направлений. 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Реализация соответствующих рисков заложена в консервативном варианте прогноза. 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консервативный вариант прогноза на среднесрочную перспективу заложено некоторое усиление </w:t>
      </w:r>
      <w:proofErr w:type="spellStart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санкционного</w:t>
      </w:r>
      <w:proofErr w:type="spellEnd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давления через вторичные санкции, прежде всего, в отношении топливно-энергетического комплекса страны, рост дисбалансов в мировой экономике из-за торговых войн,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и, соответственно, более медленный рост мирового спроса на нефть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более высоких темпах роста предложения стран вне ОПЕК+, что будет оказывать давление на мировые балансы и цены. </w:t>
      </w:r>
      <w:proofErr w:type="gramEnd"/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Цена нефти марки </w:t>
      </w:r>
      <w:proofErr w:type="spellStart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Брент</w:t>
      </w:r>
      <w:proofErr w:type="spellEnd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составит порядка 55-60 долл. США за </w:t>
      </w:r>
      <w:proofErr w:type="spellStart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барр</w:t>
      </w:r>
      <w:proofErr w:type="spellEnd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., дисконт цены на нефть марки Юралс к 2028 году составит 9 долл. США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 </w:t>
      </w:r>
      <w:proofErr w:type="spellStart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барр</w:t>
      </w:r>
      <w:proofErr w:type="spellEnd"/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CA0941" w:rsidRPr="00CA0941" w:rsidRDefault="00CA0941" w:rsidP="00CA0941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Консервативный сценарий предполагает более медленное смягчение денежно-кредитных условий. Это приведет к более низким темпам кредитования экономики, что отразится на инвестиционной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потребительской активности. </w:t>
      </w:r>
    </w:p>
    <w:p w:rsidR="0019748D" w:rsidRDefault="00CA0941" w:rsidP="00716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таких условиях рост ВВП в 2026 году прогнозируется на уровне 0,8 %. В 2027–2028 гг. экономика также будет расти более медленными темпами </w:t>
      </w:r>
      <w:r w:rsidR="007165B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A0941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уровне в среднем 1,7 % в год.</w:t>
      </w:r>
    </w:p>
    <w:p w:rsidR="00071616" w:rsidRDefault="00071616" w:rsidP="00071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19D" w:rsidRDefault="0009319D" w:rsidP="00071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9319D" w:rsidSect="00CF3290">
          <w:footerReference w:type="default" r:id="rId9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09319D" w:rsidRPr="0009319D" w:rsidRDefault="0009319D" w:rsidP="0009319D">
      <w:pPr>
        <w:keepNext/>
        <w:keepLines/>
        <w:widowControl w:val="0"/>
        <w:tabs>
          <w:tab w:val="left" w:pos="576"/>
          <w:tab w:val="left" w:pos="1440"/>
        </w:tabs>
        <w:suppressAutoHyphens/>
        <w:spacing w:after="0" w:line="240" w:lineRule="auto"/>
        <w:ind w:left="578" w:hanging="57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Toc211243192"/>
      <w:r w:rsidRPr="0009319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Основные показатели прогноза социально-экономического развития Златоустовского городского округа на 2026-2028 годы</w:t>
      </w:r>
      <w:bookmarkEnd w:id="2"/>
    </w:p>
    <w:p w:rsidR="0009319D" w:rsidRPr="0009319D" w:rsidRDefault="0009319D" w:rsidP="0009319D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19D" w:rsidRPr="0009319D" w:rsidRDefault="0009319D" w:rsidP="0009319D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09319D" w:rsidRPr="0009319D" w:rsidRDefault="0009319D" w:rsidP="0009319D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1339"/>
        <w:gridCol w:w="1137"/>
        <w:gridCol w:w="2039"/>
        <w:gridCol w:w="1311"/>
        <w:gridCol w:w="2039"/>
        <w:gridCol w:w="1266"/>
        <w:gridCol w:w="2039"/>
        <w:gridCol w:w="1433"/>
      </w:tblGrid>
      <w:tr w:rsidR="0009319D" w:rsidRPr="0009319D" w:rsidTr="0009319D">
        <w:trPr>
          <w:trHeight w:val="300"/>
          <w:tblHeader/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(факт)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(оценка)</w:t>
            </w:r>
          </w:p>
        </w:tc>
        <w:tc>
          <w:tcPr>
            <w:tcW w:w="3192" w:type="dxa"/>
            <w:gridSpan w:val="2"/>
            <w:shd w:val="clear" w:color="auto" w:fill="auto"/>
            <w:vAlign w:val="bottom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(прогноз)</w:t>
            </w:r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(прогноз)</w:t>
            </w:r>
          </w:p>
        </w:tc>
        <w:tc>
          <w:tcPr>
            <w:tcW w:w="3308" w:type="dxa"/>
            <w:gridSpan w:val="2"/>
            <w:shd w:val="clear" w:color="auto" w:fill="auto"/>
            <w:vAlign w:val="bottom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 (прогноз)</w:t>
            </w:r>
          </w:p>
        </w:tc>
      </w:tr>
      <w:tr w:rsidR="0009319D" w:rsidRPr="0009319D" w:rsidTr="0009319D">
        <w:trPr>
          <w:trHeight w:val="600"/>
          <w:tblHeader/>
          <w:jc w:val="center"/>
        </w:trPr>
        <w:tc>
          <w:tcPr>
            <w:tcW w:w="3119" w:type="dxa"/>
            <w:vMerge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Консервативный вариант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вариант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Консервативный вариант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вариант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Консервативный вариант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вариант</w:t>
            </w:r>
          </w:p>
        </w:tc>
      </w:tr>
      <w:tr w:rsidR="0009319D" w:rsidRPr="0009319D" w:rsidTr="0009319D">
        <w:trPr>
          <w:trHeight w:val="48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численность постоянного населения, тыс. человек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159,7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158,3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154,8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156,7</w:t>
            </w:r>
          </w:p>
        </w:tc>
      </w:tr>
      <w:tr w:rsidR="0009319D" w:rsidRPr="0009319D" w:rsidTr="0009319D">
        <w:trPr>
          <w:trHeight w:val="30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9319D" w:rsidRPr="0009319D" w:rsidTr="0009319D">
        <w:trPr>
          <w:trHeight w:val="120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 крупными и средними организациями по «чистым» видам экономической деятельности, млн. рублей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44 819,2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46 971,8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48 202,0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49 078,7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50 375,2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52 415,6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52 810,8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56 091,6</w:t>
            </w:r>
          </w:p>
        </w:tc>
      </w:tr>
      <w:tr w:rsidR="0009319D" w:rsidRPr="0009319D" w:rsidTr="0009319D">
        <w:trPr>
          <w:trHeight w:val="30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09319D" w:rsidRPr="0009319D" w:rsidTr="0009319D">
        <w:trPr>
          <w:trHeight w:val="48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производства </w:t>
            </w:r>
            <w:r w:rsidR="00321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 </w:t>
            </w:r>
            <w:r w:rsidR="00321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сопоставимых ценах)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09319D" w:rsidRPr="0009319D" w:rsidTr="0009319D">
        <w:trPr>
          <w:trHeight w:val="30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наемных работников, млн. рублей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23 822,2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27 131,7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29 744,6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30 381,2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31 914,7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33 171,8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34 094,5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36 066,9</w:t>
            </w:r>
          </w:p>
        </w:tc>
      </w:tr>
      <w:tr w:rsidR="0009319D" w:rsidRPr="0009319D" w:rsidTr="0009319D">
        <w:trPr>
          <w:trHeight w:val="30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119,6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108,7</w:t>
            </w:r>
          </w:p>
        </w:tc>
      </w:tr>
      <w:tr w:rsidR="0009319D" w:rsidRPr="0009319D" w:rsidTr="0009319D">
        <w:trPr>
          <w:trHeight w:val="30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</w:t>
            </w:r>
            <w:r w:rsidR="00321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фонд заработной платы, млн. рублей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22 043,1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25 461,1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28 007,2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28 643,7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30 107,8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31 364,9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32 215,3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34 187,7</w:t>
            </w:r>
          </w:p>
        </w:tc>
      </w:tr>
      <w:tr w:rsidR="0009319D" w:rsidRPr="0009319D" w:rsidTr="0009319D">
        <w:trPr>
          <w:trHeight w:val="30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09319D" w:rsidRPr="0009319D" w:rsidTr="0009319D">
        <w:trPr>
          <w:trHeight w:val="525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 </w:t>
            </w:r>
            <w:r w:rsidR="00321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внешних совместителей), тыс. человек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</w:tr>
      <w:tr w:rsidR="0009319D" w:rsidRPr="0009319D" w:rsidTr="0009319D">
        <w:trPr>
          <w:trHeight w:val="30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9319D" w:rsidRPr="0009319D" w:rsidTr="0009319D">
        <w:trPr>
          <w:trHeight w:val="30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продукции сельского хозяйства, млн. рублей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569,6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612,7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643,3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655,7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699,8</w:t>
            </w:r>
          </w:p>
        </w:tc>
      </w:tr>
      <w:tr w:rsidR="0009319D" w:rsidRPr="0009319D" w:rsidTr="0009319D">
        <w:trPr>
          <w:trHeight w:val="30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 </w:t>
            </w:r>
            <w:r w:rsidR="00321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09319D" w:rsidRPr="0009319D" w:rsidTr="0009319D">
        <w:trPr>
          <w:trHeight w:val="72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инвестиций </w:t>
            </w:r>
            <w:r w:rsidR="00321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основной капитал за счет всех источников финансирования по крупным и средним организациям, млн. рублей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3 120,4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3 301,4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3 476,3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3 482,9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3 639,7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3 657,1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3 796,2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3 852,3</w:t>
            </w:r>
          </w:p>
        </w:tc>
      </w:tr>
      <w:tr w:rsidR="0009319D" w:rsidRPr="0009319D" w:rsidTr="0009319D">
        <w:trPr>
          <w:trHeight w:val="30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122,3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09319D" w:rsidRPr="0009319D" w:rsidTr="0009319D">
        <w:trPr>
          <w:trHeight w:val="30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 </w:t>
            </w:r>
            <w:r w:rsidR="00321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сопоставимых ценах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113,2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09319D" w:rsidRPr="0009319D" w:rsidTr="0009319D">
        <w:trPr>
          <w:trHeight w:val="96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Среднегодовая стоимость имущества, облагаемого налогом на имущество организаций в соответствии </w:t>
            </w:r>
            <w:r w:rsidR="00321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пунктом 1 статьи 375 Налогового кодекса Российской Федерации, </w:t>
            </w:r>
            <w:r w:rsidR="00321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7 755,6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8 205,4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8 640,3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8 656,7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9 046,4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9 089,6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9 435,4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9 507,7</w:t>
            </w:r>
          </w:p>
        </w:tc>
      </w:tr>
      <w:tr w:rsidR="0009319D" w:rsidRPr="0009319D" w:rsidTr="0009319D">
        <w:trPr>
          <w:trHeight w:val="300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09319D" w:rsidRPr="0009319D" w:rsidRDefault="0009319D" w:rsidP="0009319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</w:tr>
    </w:tbl>
    <w:p w:rsidR="0009319D" w:rsidRPr="0009319D" w:rsidRDefault="0009319D" w:rsidP="0009319D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9319D" w:rsidRPr="0009319D" w:rsidRDefault="0009319D" w:rsidP="0009319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1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0931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разработаны в соответствии с утвержденной формой Министерства экономического развития Челябинской области в количестве 8 ед.</w:t>
      </w:r>
    </w:p>
    <w:p w:rsidR="0009319D" w:rsidRDefault="0009319D" w:rsidP="00071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19D" w:rsidRDefault="0009319D" w:rsidP="00071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9319D" w:rsidSect="0009319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E6CDE" w:rsidRPr="003E6CDE" w:rsidRDefault="003E6CDE" w:rsidP="003E6CDE">
      <w:pPr>
        <w:keepNext/>
        <w:tabs>
          <w:tab w:val="left" w:pos="720"/>
        </w:tabs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bookmarkStart w:id="3" w:name="_Toc211243193"/>
      <w:r w:rsidRPr="003E6CD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lastRenderedPageBreak/>
        <w:t>СРЕДНЕГОДОВАЯ ЧИСЛЕННОСТЬ ПОСТОЯННОГО НАСЕЛЕНИЯ</w:t>
      </w:r>
      <w:bookmarkEnd w:id="3"/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Среднегодовая численность постоянного населения в  2024 году составила 159,7 тысяч человек (снижение к факту 2023 года </w:t>
      </w:r>
      <w:r w:rsidR="000F0F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1 300 человек).</w:t>
      </w:r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2025 года показатель оценивается на уровне 158,3 тысяч человек (снижение к 2024 году на 1 400 человек).</w:t>
      </w:r>
    </w:p>
    <w:p w:rsidR="003E6CDE" w:rsidRPr="003E6CDE" w:rsidRDefault="003E6CDE" w:rsidP="003E6CD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Естественная убыль населения за 2024 год составила 1,2 тыс. человек (родилось 1,0 тыс. человек,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умерло 2,2 тыс. человек).</w:t>
      </w:r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Миграция населения округа является существенной причиной сокращения численности населения и обусловлена именно трудовой миграцией населения округа.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в базовом варианте:</w:t>
      </w:r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2026 году – 157,3 тысяч человек (снижение к 2025 году </w:t>
      </w:r>
      <w:r w:rsidR="000F0F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1 000 человек);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2027 году – 156,9 тысяч человек (снижение к 2026 году </w:t>
      </w:r>
      <w:r w:rsidR="000F0F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400 человек);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2028 году – 156,7 тысяч человек (снижение к 2027 году </w:t>
      </w:r>
      <w:r w:rsidR="000F0F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200 человек).</w:t>
      </w:r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К 2028 году планируется замедление темпов падения численности населения, естественная убыль населения планируется минус 1270 человек, миграционная убыль прогнозируется ориентировочно 1103 человек (прибудет 2609 человек, убудет 1506 человек).</w:t>
      </w:r>
    </w:p>
    <w:p w:rsidR="003E6CDE" w:rsidRPr="003E6CDE" w:rsidRDefault="003E6CDE" w:rsidP="003E6CDE">
      <w:pPr>
        <w:keepNext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Мерами по предотвращению снижения численности населения является создание новых рабочих мест, реализация нацпроектов на территории округа.</w:t>
      </w:r>
    </w:p>
    <w:p w:rsidR="003E6CDE" w:rsidRPr="003E6CDE" w:rsidRDefault="003E6CDE" w:rsidP="003E6CD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3E6CDE" w:rsidRPr="003E6CDE" w:rsidRDefault="003E6CDE" w:rsidP="003E6CD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4"/>
          <w:szCs w:val="28"/>
          <w:lang w:eastAsia="ru-RU"/>
        </w:rPr>
        <w:t>Среднегодовая численность постоянного населения, тыс. человек</w:t>
      </w:r>
    </w:p>
    <w:p w:rsidR="003E6CDE" w:rsidRPr="003E6CDE" w:rsidRDefault="003E6CDE" w:rsidP="003E6CD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86BE06" wp14:editId="6334923E">
            <wp:extent cx="5934075" cy="2756775"/>
            <wp:effectExtent l="0" t="0" r="0" b="5715"/>
            <wp:docPr id="1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E6CDE" w:rsidRPr="003E6CDE" w:rsidRDefault="003E6CDE" w:rsidP="003E6CD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</w:t>
      </w:r>
    </w:p>
    <w:p w:rsidR="003E6CDE" w:rsidRPr="003E6CDE" w:rsidRDefault="003E6CDE" w:rsidP="003E6CD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CDE" w:rsidRPr="003E6CDE" w:rsidRDefault="003E6CDE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показателя «Среднегодовая численность постоянного населения» за последние 5 лет представлено на диаграмме (рис. 2). </w:t>
      </w:r>
      <w:proofErr w:type="gramEnd"/>
    </w:p>
    <w:p w:rsidR="003E6CDE" w:rsidRDefault="003E6CDE" w:rsidP="003E6CD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F3290" w:rsidRPr="003E6CDE" w:rsidRDefault="00CF3290" w:rsidP="003E6CD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E6CDE" w:rsidRPr="003E6CDE" w:rsidRDefault="003E6CDE" w:rsidP="000F0F4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E6CDE" w:rsidRPr="003E6CDE" w:rsidRDefault="003E6CDE" w:rsidP="000F0F4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исполнения Прогноза среднегодовой численность постоянного населения, тысяч человек</w:t>
      </w:r>
    </w:p>
    <w:p w:rsidR="003E6CDE" w:rsidRPr="003E6CDE" w:rsidRDefault="003E6CDE" w:rsidP="003E6CD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72DB38DA" wp14:editId="5F20E55A">
            <wp:extent cx="5924550" cy="32670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E6CDE" w:rsidRPr="003E6CDE" w:rsidRDefault="003E6CDE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Рис.2</w:t>
      </w:r>
    </w:p>
    <w:p w:rsidR="003E6CDE" w:rsidRPr="003E6CDE" w:rsidRDefault="003E6CDE" w:rsidP="003E6CD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E6CDE" w:rsidRPr="003E6CDE" w:rsidRDefault="003E6CDE" w:rsidP="00291D03">
      <w:pPr>
        <w:keepNext/>
        <w:numPr>
          <w:ilvl w:val="0"/>
          <w:numId w:val="1"/>
        </w:numPr>
        <w:tabs>
          <w:tab w:val="clear" w:pos="432"/>
          <w:tab w:val="left" w:pos="0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CDE">
        <w:rPr>
          <w:rFonts w:ascii="Times New Roman" w:eastAsia="Calibri" w:hAnsi="Times New Roman" w:cs="Times New Roman"/>
          <w:sz w:val="28"/>
          <w:szCs w:val="28"/>
        </w:rPr>
        <w:t xml:space="preserve">В 2025 году наблюдается снижение среднегодовой численности населения округа с 160,1 тыс. человек до 158,7 тыс. человек </w:t>
      </w:r>
      <w:r w:rsidR="0040736F">
        <w:rPr>
          <w:rFonts w:ascii="Times New Roman" w:eastAsia="Calibri" w:hAnsi="Times New Roman" w:cs="Times New Roman"/>
          <w:sz w:val="28"/>
          <w:szCs w:val="28"/>
        </w:rPr>
        <w:br/>
      </w:r>
      <w:r w:rsidRPr="003E6CDE">
        <w:rPr>
          <w:rFonts w:ascii="Times New Roman" w:eastAsia="Calibri" w:hAnsi="Times New Roman" w:cs="Times New Roman"/>
          <w:sz w:val="28"/>
          <w:szCs w:val="28"/>
        </w:rPr>
        <w:t>(-1400 человек).</w:t>
      </w:r>
    </w:p>
    <w:p w:rsidR="003E6CDE" w:rsidRPr="003E6CDE" w:rsidRDefault="003E6CDE" w:rsidP="00291D03">
      <w:pPr>
        <w:keepNext/>
        <w:numPr>
          <w:ilvl w:val="0"/>
          <w:numId w:val="1"/>
        </w:numPr>
        <w:tabs>
          <w:tab w:val="clear" w:pos="432"/>
          <w:tab w:val="left" w:pos="0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E6CDE">
        <w:rPr>
          <w:rFonts w:ascii="Times New Roman" w:eastAsia="Calibri" w:hAnsi="Times New Roman" w:cs="Times New Roman"/>
          <w:sz w:val="28"/>
          <w:szCs w:val="28"/>
        </w:rPr>
        <w:t xml:space="preserve">Естественная убыль населения составила 0,4 тыс. человек (родилось 0,3 тыс. человек, умерло 0,6 тыс. человек), миграционное сальдо составило (-) 3 человека (прибыло 0,3 тыс. человек, выбыло </w:t>
      </w:r>
      <w:r w:rsidR="0040736F">
        <w:rPr>
          <w:rFonts w:ascii="Times New Roman" w:eastAsia="Calibri" w:hAnsi="Times New Roman" w:cs="Times New Roman"/>
          <w:sz w:val="28"/>
          <w:szCs w:val="28"/>
        </w:rPr>
        <w:br/>
      </w:r>
      <w:r w:rsidRPr="003E6CDE">
        <w:rPr>
          <w:rFonts w:ascii="Times New Roman" w:eastAsia="Calibri" w:hAnsi="Times New Roman" w:cs="Times New Roman"/>
          <w:sz w:val="28"/>
          <w:szCs w:val="28"/>
        </w:rPr>
        <w:t>0,3 тыс. человек).</w:t>
      </w:r>
      <w:proofErr w:type="gramEnd"/>
    </w:p>
    <w:p w:rsidR="003E6CDE" w:rsidRPr="003E6CDE" w:rsidRDefault="003E6CDE" w:rsidP="003E6CD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pacing w:val="-9"/>
          <w:sz w:val="28"/>
          <w:szCs w:val="28"/>
          <w:lang w:eastAsia="ru-RU"/>
        </w:rPr>
      </w:pPr>
    </w:p>
    <w:p w:rsidR="003E6CDE" w:rsidRPr="003E6CDE" w:rsidRDefault="003E6CDE" w:rsidP="003E6CDE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bookmarkStart w:id="4" w:name="_Toc211243194"/>
      <w:r w:rsidRPr="003E6CD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ОБЪЕМ ОТГРУЖЕННЫХ ТОВАРОВ СОБСТВЕННОГО ПРОИЗВОДСТВА, ВЫПОЛНЕННЫХ РАБОТ И УСЛУГ СОБСТВЕННЫМИ СИЛАМИ КРУПНЫМИ И СРЕДНИМИ ОРГАНИЗАЦИЯМИ ПО «ЧИСТЫМ» ВИДАМ ЭКОНОМИЧЕСКОЙ ДЕЯТЕЛЬНОСТИ</w:t>
      </w:r>
      <w:bookmarkEnd w:id="4"/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E6CDE" w:rsidRPr="003E6CDE" w:rsidRDefault="003E6CDE" w:rsidP="00291D03">
      <w:pPr>
        <w:keepNext/>
        <w:numPr>
          <w:ilvl w:val="0"/>
          <w:numId w:val="2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показатель «Объем отгруженных товаров собственного производства, выполненных работ и услуг собственными силами крупными и средними организациями по «чистым» видам экономической деятельности» составил 44,8 млрд. рублей (увеличение к факту 2023 года </w:t>
      </w:r>
      <w:r w:rsidR="00291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4,3 млрд. рублей). </w:t>
      </w:r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 2025 года составляет 47,0 млрд. рублей (рост к 2024 году </w:t>
      </w:r>
      <w:r w:rsidR="00291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2,2 млрд. рублей).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Прогноз в базовом варианте: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- в 2026 году – 49,1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(рост к 2025 году на 2,1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. рублей);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- в 2027 году – 52,4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(рост к 2026 году на 3,3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млрд. 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рублей);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- в 2028 году – 56,1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(рост к 2027 году на 3,7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млрд. 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рублей).</w:t>
      </w:r>
    </w:p>
    <w:p w:rsidR="003E6CDE" w:rsidRPr="003E6CDE" w:rsidRDefault="003E6CDE" w:rsidP="00291D0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Объем отгруженных товаров собственного производства, выполненных работ и услуг собственными силами крупными и средними организациями </w:t>
      </w:r>
      <w:r w:rsidR="00291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«чистым»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 экономической деятельности, млн. рублей</w:t>
      </w:r>
    </w:p>
    <w:p w:rsidR="003E6CDE" w:rsidRPr="003E6CDE" w:rsidRDefault="003E6CDE" w:rsidP="003E6CD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3E6CDE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 wp14:anchorId="0C0B8597" wp14:editId="3110A7CE">
            <wp:extent cx="5893210" cy="2609850"/>
            <wp:effectExtent l="0" t="0" r="0" b="0"/>
            <wp:docPr id="3" name="Объект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3</w:t>
      </w:r>
    </w:p>
    <w:p w:rsidR="003E6CDE" w:rsidRPr="003E6CDE" w:rsidRDefault="003E6CDE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CDE" w:rsidRPr="003E6CDE" w:rsidRDefault="003E6CDE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показателя «Объем отгруженных товаров собственного производства, выполненных работ и услуг собственными силами крупными </w:t>
      </w:r>
      <w:r w:rsidR="00635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средними организациями по «чистым» видам экономической деятельности» за последние 5 лет представлено на диаграмме (рис. 4).</w:t>
      </w:r>
      <w:proofErr w:type="gramEnd"/>
    </w:p>
    <w:p w:rsidR="003E6CDE" w:rsidRPr="003E6CDE" w:rsidRDefault="003E6CDE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E6CDE" w:rsidRPr="003E6CDE" w:rsidRDefault="003E6CDE" w:rsidP="006355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исполнения Прогноза объема отгруженных товаров собственного производства, выполненных работ и услуг собственными силами крупными </w:t>
      </w:r>
      <w:r w:rsidR="006355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средними организациями по «чистым» видам экономической деятельности среднегодовой численность постоянного населения, млрд. рублей</w:t>
      </w:r>
    </w:p>
    <w:p w:rsidR="003E6CDE" w:rsidRPr="003E6CDE" w:rsidRDefault="003E6CDE" w:rsidP="003E6CD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67025B48" wp14:editId="6074C401">
            <wp:extent cx="5895975" cy="3505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F3290" w:rsidRDefault="00CF3290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CDE" w:rsidRDefault="003E6CDE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Рис.4</w:t>
      </w:r>
    </w:p>
    <w:p w:rsidR="003E6CDE" w:rsidRPr="003E6CDE" w:rsidRDefault="003E6CDE" w:rsidP="003E6CDE">
      <w:pPr>
        <w:keepNext/>
        <w:tabs>
          <w:tab w:val="left" w:pos="720"/>
        </w:tabs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bookmarkStart w:id="5" w:name="_Toc211243195"/>
      <w:r w:rsidRPr="003E6CD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lastRenderedPageBreak/>
        <w:t>ИНДЕКС ПРОИЗВОДСТВА</w:t>
      </w:r>
      <w:bookmarkEnd w:id="5"/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показатель «Индекс производства (в процентах </w:t>
      </w:r>
      <w:r w:rsid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предыдущему году в сопоставимых ценах)» составил 102,4 % (снижение </w:t>
      </w:r>
      <w:r w:rsid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факту 2023 года на 5,5 %).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показатель оценивается на уровне 98,9 % (снижение к 2024 году на 3,5 %).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в базовом варианте: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2026 году – 99,7% (рост к 2025 году на 0,8%);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2027 году – 102,2% (рост к 2026 году на 2,5 %);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2028 году – 102,7% (рост к 2027 году на 0,5%).</w:t>
      </w:r>
    </w:p>
    <w:p w:rsidR="003E6CDE" w:rsidRPr="003E6CDE" w:rsidRDefault="003E6CDE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показателя «Индекс производства» за последние 5 лет представлено на диаграмме (рис. 5). </w:t>
      </w:r>
      <w:proofErr w:type="gramEnd"/>
    </w:p>
    <w:p w:rsidR="003E6CDE" w:rsidRPr="003E6CDE" w:rsidRDefault="003E6CDE" w:rsidP="003E6CDE">
      <w:pPr>
        <w:keepNext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E6CDE" w:rsidRPr="003E6CDE" w:rsidRDefault="003E6CDE" w:rsidP="004B663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исполнения Прогноза индекса производства, в процентах </w:t>
      </w:r>
      <w:r w:rsid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предыдущему году в сопоставимых ценах</w:t>
      </w:r>
      <w:r w:rsidRPr="003E6CDE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7A9034F3" wp14:editId="094C3F46">
            <wp:extent cx="5905500" cy="30861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F3290" w:rsidRDefault="00CF3290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CDE" w:rsidRPr="003E6CDE" w:rsidRDefault="003E6CDE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Рис.5</w:t>
      </w:r>
    </w:p>
    <w:p w:rsidR="003E6CDE" w:rsidRPr="003E6CDE" w:rsidRDefault="003E6CDE" w:rsidP="003E6CDE">
      <w:pPr>
        <w:keepNext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E6CDE" w:rsidRPr="003E6CDE" w:rsidRDefault="003E6CDE" w:rsidP="003E6CDE">
      <w:pPr>
        <w:keepNext/>
        <w:tabs>
          <w:tab w:val="left" w:pos="720"/>
        </w:tabs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bookmarkStart w:id="6" w:name="_Toc211243196"/>
      <w:r w:rsidRPr="003E6CD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ОПЛАТА ТРУДА НАЕМНЫХ РАБОТНИКОВ</w:t>
      </w:r>
      <w:bookmarkEnd w:id="6"/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«Оплата труда наемных работников» в 2024 году составил 23,8 млрд. рублей (рост к факту 2023 года на 3,9 млрд. рублей).</w:t>
      </w:r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2025 года показатель оценивается на уровне 27,1 млрд. рублей (рост на 3,3 млрд. рублей к 2024 году).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Прогноз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труда наёмных работнико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в в базовом варианте: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- в 2026 году – 30,4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(рост к 2025 году на 3,3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. рублей);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- в 2027 году – 33,2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(рост к 2025 году на 2,8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млрд. 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рублей);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- в 2028 году – 36,1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(рост к 2026 году на 2,9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млрд. 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рублей).</w:t>
      </w:r>
    </w:p>
    <w:p w:rsidR="003E6CDE" w:rsidRDefault="003E6CDE" w:rsidP="003E6CD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CF3290" w:rsidRDefault="00CF3290" w:rsidP="003E6CD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CF3290" w:rsidRDefault="00CF3290" w:rsidP="003E6CD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CF3290" w:rsidRPr="003E6CDE" w:rsidRDefault="00CF3290" w:rsidP="003E6CD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3E6CDE" w:rsidRPr="003E6CDE" w:rsidRDefault="003E6CDE" w:rsidP="003E6CD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3E6CDE" w:rsidRPr="003E6CDE" w:rsidRDefault="003E6CDE" w:rsidP="004B663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наемных работников, млн. рублей</w:t>
      </w:r>
    </w:p>
    <w:p w:rsidR="003E6CDE" w:rsidRPr="003E6CDE" w:rsidRDefault="003E6CDE" w:rsidP="003E6CD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24109C" wp14:editId="7B9E02A4">
            <wp:extent cx="5872650" cy="2266950"/>
            <wp:effectExtent l="0" t="0" r="0" b="0"/>
            <wp:docPr id="6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E6CDE" w:rsidRPr="003E6CDE" w:rsidRDefault="003E6CDE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Рис.6</w:t>
      </w:r>
    </w:p>
    <w:p w:rsidR="003E6CDE" w:rsidRPr="003E6CDE" w:rsidRDefault="003E6CDE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E6CDE" w:rsidRPr="003E6CDE" w:rsidRDefault="003E6CDE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показателя «Оплата труда наемных работников» </w:t>
      </w:r>
      <w:r w:rsid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gramStart"/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proofErr w:type="gramEnd"/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лет представлено на диаграмме (рис. 5). </w:t>
      </w:r>
    </w:p>
    <w:p w:rsidR="003E6CDE" w:rsidRPr="003E6CDE" w:rsidRDefault="003E6CDE" w:rsidP="003E6CD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E6CDE" w:rsidRPr="003E6CDE" w:rsidRDefault="003E6CDE" w:rsidP="004B663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исполнения Прогноза оплаты труда наемных работников, </w:t>
      </w:r>
      <w:r w:rsid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</w:t>
      </w:r>
    </w:p>
    <w:p w:rsidR="003E6CDE" w:rsidRPr="003E6CDE" w:rsidRDefault="003E6CDE" w:rsidP="003E6CD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77D842D6" wp14:editId="3E891649">
            <wp:extent cx="5915025" cy="26860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E6CDE" w:rsidRPr="003E6CDE" w:rsidRDefault="003E6CDE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Рис.7</w:t>
      </w:r>
    </w:p>
    <w:p w:rsidR="004B6639" w:rsidRDefault="004B6639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E6CDE" w:rsidRPr="003E6CDE" w:rsidRDefault="003E6CDE" w:rsidP="003E6CD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наёмных работников складывается из фонда заработной платы наёмных работников и денежного довольствия военнослужащих.</w:t>
      </w:r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заработной платы наёмных работников в 2024 году составил </w:t>
      </w:r>
      <w:r w:rsid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22,0 млрд. рублей (рост к факту 2023 года на 3,5 млрд. рублей).</w:t>
      </w:r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2025 года показатель оценивается на уровне 25,5 млрд. рублей (рост на 3,5 млрд. рублей к 2024 году).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Прогноз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заработной платы наёмных работников в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базовом варианте: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- в 2026 году – 28,6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(рост к 2025 году на 3,1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. рублей);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- в 2027 году – 31,4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(рост к 2025 году на 2,8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млрд. 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рублей);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- в 2028 году – 34,2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(рост к 2026 году на 2,8 </w:t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млрд. </w:t>
      </w:r>
      <w:r w:rsidRPr="003E6CD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рублей).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разработке Прогноза оплаты труда наемных работников на период до 2028 года принято во внимание замедление  темпов развития экономики округа.  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половине 2025 года по причине  сокращение заказов потребителей и снижении объемов производства на крупных и средних организациях округа, в частности, таких как ООО «Златоустовский металлургический завод» </w:t>
      </w:r>
      <w:proofErr w:type="gramStart"/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«Златоустовский абразивный завод»,  введен режим неполного рабочего времени и сокращение численности персонала.  </w:t>
      </w:r>
    </w:p>
    <w:p w:rsidR="003E6CDE" w:rsidRPr="003E6CDE" w:rsidRDefault="003E6CDE" w:rsidP="003E6CDE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ОКУ «Центр занятости населения г. Златоуста» </w:t>
      </w:r>
      <w:r w:rsid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15.08.2025 года планируется перевести на неполную рабочую неделю 1 252 человека и уволить 73 человека.</w:t>
      </w:r>
    </w:p>
    <w:p w:rsidR="003E6CDE" w:rsidRPr="003E6CDE" w:rsidRDefault="003E6CDE" w:rsidP="003E6CD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момент у предприятий округа отсутствует возможность продолжать повышение заработной платы прежними темпами.</w:t>
      </w:r>
    </w:p>
    <w:p w:rsidR="003E6CDE" w:rsidRPr="003E6CDE" w:rsidRDefault="003E6CDE" w:rsidP="003E6CDE">
      <w:pPr>
        <w:keepNext/>
        <w:tabs>
          <w:tab w:val="left" w:pos="720"/>
        </w:tabs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bookmarkStart w:id="7" w:name="_Toc211243197"/>
    </w:p>
    <w:p w:rsidR="003E6CDE" w:rsidRPr="003E6CDE" w:rsidRDefault="003E6CDE" w:rsidP="003E6CDE">
      <w:pPr>
        <w:keepNext/>
        <w:tabs>
          <w:tab w:val="left" w:pos="720"/>
        </w:tabs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3E6CD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СРЕДНЕСПИСОЧНАЯ ЧИСЛЕННОСТЬ РАБОТНИКОВ </w:t>
      </w:r>
      <w:r w:rsidR="004B663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br/>
      </w:r>
      <w:r w:rsidRPr="003E6CD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(БЕЗ ВНЕШНИХ СОВМЕСТИТЕЛЕЙ)</w:t>
      </w:r>
      <w:bookmarkEnd w:id="7"/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среднесписочная численность работников составила </w:t>
      </w:r>
      <w:r w:rsid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34,1 тысяч человек (снижение к факту 2023 года на 300 человек).</w:t>
      </w:r>
    </w:p>
    <w:p w:rsidR="003E6CDE" w:rsidRPr="003E6CDE" w:rsidRDefault="003E6CDE" w:rsidP="003E6CD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Причина – переход части предпринимателей на новый льготный режим налогообложения и получение ими статуса </w:t>
      </w:r>
      <w:proofErr w:type="spellStart"/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расчете показателя используются статистические данные, где </w:t>
      </w:r>
      <w:proofErr w:type="spellStart"/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учитываются.</w:t>
      </w:r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proofErr w:type="gramStart"/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прогнозирования оценки состояния занятости населения</w:t>
      </w:r>
      <w:proofErr w:type="gramEnd"/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разработан прогноз баланса трудовых ресурсов на 2025-2028 годы, который содержит в себе показатели численность трудоспособного возраста, численность трудовых ресурсов, численность занятого в экономике населения и другие, позволяющие произвести полноценный расчет прогнозируемого показателя.</w:t>
      </w:r>
    </w:p>
    <w:p w:rsidR="003E6CDE" w:rsidRPr="003E6CDE" w:rsidRDefault="003E6CDE" w:rsidP="003E6CD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C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баланса трудовых ресурсов о прогнозных данных работников крупных, средних и малых предприятий на 2025-2028 годы</w:t>
      </w:r>
    </w:p>
    <w:p w:rsidR="001D7459" w:rsidRDefault="001D7459" w:rsidP="00071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42A" w:rsidRDefault="0094442A" w:rsidP="001D74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42A" w:rsidRPr="0094442A" w:rsidRDefault="0094442A" w:rsidP="0094442A">
      <w:pPr>
        <w:keepNext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3, человек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0"/>
        <w:gridCol w:w="1085"/>
        <w:gridCol w:w="1050"/>
        <w:gridCol w:w="1189"/>
        <w:gridCol w:w="1205"/>
        <w:gridCol w:w="1220"/>
      </w:tblGrid>
      <w:tr w:rsidR="0094442A" w:rsidRPr="0094442A" w:rsidTr="0094442A">
        <w:trPr>
          <w:trHeight w:val="345"/>
          <w:tblHeader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Pr="0094442A">
              <w:rPr>
                <w:rFonts w:ascii="Times New Roman" w:eastAsia="Times New Roman" w:hAnsi="Times New Roman" w:cs="Times New Roman"/>
                <w:lang w:eastAsia="ru-RU"/>
              </w:rPr>
              <w:t>показателей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</w:t>
            </w:r>
            <w:r w:rsidRPr="0094442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94442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факт</w:t>
            </w:r>
            <w:proofErr w:type="spellEnd"/>
            <w:r w:rsidRPr="0094442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(оценка)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(прогноз)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(прогноз)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 (прогноз)</w:t>
            </w:r>
          </w:p>
        </w:tc>
      </w:tr>
      <w:tr w:rsidR="0094442A" w:rsidRPr="0094442A" w:rsidTr="0094442A">
        <w:trPr>
          <w:trHeight w:val="345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</w:t>
            </w:r>
            <w:proofErr w:type="spellStart"/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реднесписочная</w:t>
            </w:r>
            <w:proofErr w:type="spellEnd"/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численность работников (без внешних совместителей)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34 145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34 290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34 276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34 322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34 335</w:t>
            </w:r>
          </w:p>
        </w:tc>
      </w:tr>
      <w:tr w:rsidR="0094442A" w:rsidRPr="0094442A" w:rsidTr="0094442A">
        <w:trPr>
          <w:trHeight w:val="345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4442A">
              <w:rPr>
                <w:rFonts w:ascii="Times New Roman" w:eastAsia="Times New Roman" w:hAnsi="Times New Roman" w:cs="Times New Roman"/>
                <w:lang w:eastAsia="ru-RU"/>
              </w:rPr>
              <w:t xml:space="preserve"> Численность работников крупных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4442A">
              <w:rPr>
                <w:rFonts w:ascii="Times New Roman" w:eastAsia="Times New Roman" w:hAnsi="Times New Roman" w:cs="Times New Roman"/>
                <w:lang w:eastAsia="ru-RU"/>
              </w:rPr>
              <w:t>и средних предприятий, в том числе: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26 965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27 190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27 162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27 186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27 210</w:t>
            </w:r>
          </w:p>
        </w:tc>
      </w:tr>
      <w:tr w:rsidR="0094442A" w:rsidRPr="0094442A" w:rsidTr="0094442A">
        <w:trPr>
          <w:trHeight w:val="315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 Промышленное производство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9 439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9 402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9 408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9 413</w:t>
            </w:r>
          </w:p>
        </w:tc>
      </w:tr>
      <w:tr w:rsidR="0094442A" w:rsidRPr="0094442A" w:rsidTr="0094442A">
        <w:trPr>
          <w:trHeight w:val="270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4442A" w:rsidRPr="0094442A" w:rsidTr="0094442A">
        <w:trPr>
          <w:trHeight w:val="405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 Обрабатывающие производства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7 559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7 522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7 528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7 533</w:t>
            </w:r>
          </w:p>
        </w:tc>
      </w:tr>
      <w:tr w:rsidR="0094442A" w:rsidRPr="0094442A" w:rsidTr="0094442A">
        <w:trPr>
          <w:trHeight w:val="585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 Обеспечение электрической энергией, газом и паром, кондиционирование воздуха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1 397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1 397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1 397</w:t>
            </w:r>
          </w:p>
        </w:tc>
      </w:tr>
      <w:tr w:rsidR="0094442A" w:rsidRPr="0094442A" w:rsidTr="0094442A">
        <w:trPr>
          <w:trHeight w:val="810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 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</w:tr>
      <w:tr w:rsidR="0094442A" w:rsidRPr="0094442A" w:rsidTr="0094442A">
        <w:trPr>
          <w:trHeight w:val="675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Торговля оптовая и розничная; ремонт автотранспортных средств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мотоциклов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1 842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1 842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1 842</w:t>
            </w:r>
          </w:p>
        </w:tc>
      </w:tr>
      <w:tr w:rsidR="0094442A" w:rsidRPr="0094442A" w:rsidTr="0094442A">
        <w:trPr>
          <w:trHeight w:val="360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Транспортировка и хранение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3 840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3 857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3 875</w:t>
            </w:r>
          </w:p>
        </w:tc>
      </w:tr>
      <w:tr w:rsidR="0094442A" w:rsidRPr="0094442A" w:rsidTr="0094442A">
        <w:trPr>
          <w:trHeight w:val="630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Деятельность гостиниц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предприятий общественного питания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</w:tr>
      <w:tr w:rsidR="0094442A" w:rsidRPr="0094442A" w:rsidTr="0094442A">
        <w:trPr>
          <w:trHeight w:val="345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Деятельность в области информации и связи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94442A" w:rsidRPr="0094442A" w:rsidTr="0094442A">
        <w:trPr>
          <w:trHeight w:val="360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Деятельность финансовая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страховая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</w:tr>
      <w:tr w:rsidR="0094442A" w:rsidRPr="0094442A" w:rsidTr="0094442A">
        <w:trPr>
          <w:trHeight w:val="630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Деятельность профессиональная, научная и техническая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</w:tr>
      <w:tr w:rsidR="0094442A" w:rsidRPr="0094442A" w:rsidTr="0094442A">
        <w:trPr>
          <w:trHeight w:val="630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Государственное 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обеспечение военной безопасности; социальное обеспечение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2 249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2 249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2 249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2 249</w:t>
            </w:r>
          </w:p>
        </w:tc>
      </w:tr>
      <w:tr w:rsidR="0094442A" w:rsidRPr="0094442A" w:rsidTr="0094442A">
        <w:trPr>
          <w:trHeight w:val="315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Образование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4 647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4 647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4 647</w:t>
            </w:r>
          </w:p>
        </w:tc>
      </w:tr>
      <w:tr w:rsidR="0094442A" w:rsidRPr="0094442A" w:rsidTr="0094442A">
        <w:trPr>
          <w:trHeight w:val="630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Деятельность в области здравоохранения и социальных услуг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2 867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2 867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2 867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2 867</w:t>
            </w:r>
          </w:p>
        </w:tc>
      </w:tr>
      <w:tr w:rsidR="0094442A" w:rsidRPr="0094442A" w:rsidTr="0094442A">
        <w:trPr>
          <w:trHeight w:val="630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11. Деятельность в области культуры, спорта, организации досуга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развлечений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</w:t>
            </w:r>
          </w:p>
        </w:tc>
      </w:tr>
      <w:tr w:rsidR="0094442A" w:rsidRPr="0094442A" w:rsidTr="0094442A">
        <w:trPr>
          <w:trHeight w:val="300"/>
          <w:jc w:val="center"/>
        </w:trPr>
        <w:tc>
          <w:tcPr>
            <w:tcW w:w="4268" w:type="dxa"/>
            <w:shd w:val="clear" w:color="auto" w:fill="auto"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 Предоставление прочих видов услуг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94442A" w:rsidRPr="0094442A" w:rsidRDefault="0094442A" w:rsidP="0094442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94442A" w:rsidRPr="0094442A" w:rsidTr="0094442A">
        <w:trPr>
          <w:trHeight w:val="300"/>
          <w:jc w:val="center"/>
        </w:trPr>
        <w:tc>
          <w:tcPr>
            <w:tcW w:w="4268" w:type="dxa"/>
            <w:shd w:val="clear" w:color="auto" w:fill="auto"/>
          </w:tcPr>
          <w:p w:rsidR="0094442A" w:rsidRPr="0094442A" w:rsidRDefault="0094442A" w:rsidP="0094442A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94442A">
              <w:rPr>
                <w:rFonts w:ascii="Times New Roman" w:eastAsia="Times New Roman" w:hAnsi="Times New Roman" w:cs="Times New Roman"/>
                <w:lang w:eastAsia="ru-RU"/>
              </w:rPr>
              <w:t>Численность работников малых предприятий.</w:t>
            </w:r>
          </w:p>
        </w:tc>
        <w:tc>
          <w:tcPr>
            <w:tcW w:w="1173" w:type="dxa"/>
            <w:shd w:val="clear" w:color="auto" w:fill="auto"/>
            <w:noWrap/>
          </w:tcPr>
          <w:p w:rsidR="0094442A" w:rsidRPr="0094442A" w:rsidRDefault="0094442A" w:rsidP="0094442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lang w:eastAsia="ru-RU"/>
              </w:rPr>
              <w:t>7 180</w:t>
            </w:r>
          </w:p>
        </w:tc>
        <w:tc>
          <w:tcPr>
            <w:tcW w:w="1134" w:type="dxa"/>
            <w:shd w:val="clear" w:color="auto" w:fill="auto"/>
            <w:noWrap/>
          </w:tcPr>
          <w:p w:rsidR="0094442A" w:rsidRPr="0094442A" w:rsidRDefault="0094442A" w:rsidP="0094442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lang w:eastAsia="ru-RU"/>
              </w:rPr>
              <w:t>7 100</w:t>
            </w:r>
          </w:p>
        </w:tc>
        <w:tc>
          <w:tcPr>
            <w:tcW w:w="1287" w:type="dxa"/>
            <w:shd w:val="clear" w:color="auto" w:fill="auto"/>
            <w:noWrap/>
          </w:tcPr>
          <w:p w:rsidR="0094442A" w:rsidRPr="0094442A" w:rsidRDefault="0094442A" w:rsidP="0094442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lang w:eastAsia="ru-RU"/>
              </w:rPr>
              <w:t>7 114</w:t>
            </w:r>
          </w:p>
        </w:tc>
        <w:tc>
          <w:tcPr>
            <w:tcW w:w="1305" w:type="dxa"/>
            <w:shd w:val="clear" w:color="auto" w:fill="auto"/>
            <w:noWrap/>
          </w:tcPr>
          <w:p w:rsidR="0094442A" w:rsidRPr="0094442A" w:rsidRDefault="0094442A" w:rsidP="0094442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lang w:eastAsia="ru-RU"/>
              </w:rPr>
              <w:t>7 136</w:t>
            </w:r>
          </w:p>
        </w:tc>
        <w:tc>
          <w:tcPr>
            <w:tcW w:w="1322" w:type="dxa"/>
            <w:shd w:val="clear" w:color="auto" w:fill="auto"/>
            <w:noWrap/>
          </w:tcPr>
          <w:p w:rsidR="0094442A" w:rsidRPr="0094442A" w:rsidRDefault="0094442A" w:rsidP="0094442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442A">
              <w:rPr>
                <w:rFonts w:ascii="Times New Roman" w:eastAsia="Times New Roman" w:hAnsi="Times New Roman" w:cs="Times New Roman"/>
                <w:bCs/>
                <w:lang w:eastAsia="ru-RU"/>
              </w:rPr>
              <w:t>7 125</w:t>
            </w:r>
          </w:p>
        </w:tc>
      </w:tr>
    </w:tbl>
    <w:p w:rsidR="001D7459" w:rsidRDefault="001D7459" w:rsidP="001D745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459" w:rsidRPr="00CA1A88" w:rsidRDefault="001D7459" w:rsidP="001D7459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Среднесписочная численность работников в 2025 году оценивается </w:t>
      </w:r>
      <w:r w:rsidRPr="00CA1A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уровне 34,3 тысяч человек. </w:t>
      </w:r>
    </w:p>
    <w:p w:rsidR="001D7459" w:rsidRPr="00CA1A88" w:rsidRDefault="001D7459" w:rsidP="001D7459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в базовом варианте на 2026-2028 годы также заложен на уровне 34,3 тысяч человек.</w:t>
      </w:r>
    </w:p>
    <w:p w:rsidR="001D7459" w:rsidRDefault="001D7459" w:rsidP="001D745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</w:p>
    <w:p w:rsidR="00CA1A88" w:rsidRDefault="00CA1A88" w:rsidP="001D745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</w:p>
    <w:p w:rsidR="00CA1A88" w:rsidRDefault="00CA1A88" w:rsidP="001D745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</w:p>
    <w:p w:rsidR="00CA1A88" w:rsidRDefault="00CA1A88" w:rsidP="001D745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</w:p>
    <w:p w:rsidR="00CA1A88" w:rsidRDefault="00CA1A88" w:rsidP="001D745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</w:p>
    <w:p w:rsidR="00CA1A88" w:rsidRPr="00CA1A88" w:rsidRDefault="00CA1A88" w:rsidP="001D745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</w:p>
    <w:p w:rsidR="001D7459" w:rsidRPr="00CA1A88" w:rsidRDefault="001D7459" w:rsidP="00CA1A8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A8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Среднесписочная численность работников (без внешних совместителей),</w:t>
      </w:r>
    </w:p>
    <w:p w:rsidR="001D7459" w:rsidRPr="00CA1A88" w:rsidRDefault="001D7459" w:rsidP="00CA1A8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A8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человек</w:t>
      </w:r>
    </w:p>
    <w:p w:rsidR="001D7459" w:rsidRPr="001D7459" w:rsidRDefault="001D7459" w:rsidP="001D745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D7459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77D47395" wp14:editId="2C6311D1">
            <wp:extent cx="5829300" cy="2679598"/>
            <wp:effectExtent l="0" t="0" r="0" b="6985"/>
            <wp:docPr id="8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7459" w:rsidRPr="001D7459" w:rsidRDefault="001D7459" w:rsidP="001D7459">
      <w:pPr>
        <w:keepNext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8</w:t>
      </w:r>
    </w:p>
    <w:p w:rsidR="001D7459" w:rsidRPr="001D7459" w:rsidRDefault="001D7459" w:rsidP="001D7459">
      <w:pPr>
        <w:keepNext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D7459" w:rsidRPr="001D7459" w:rsidRDefault="001D7459" w:rsidP="001D745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показателя «Среднесписочная численность работников» </w:t>
      </w:r>
      <w:r w:rsidR="00CA1A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gramStart"/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proofErr w:type="gramEnd"/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лет представлено на диаграмме (рис. 8). </w:t>
      </w:r>
    </w:p>
    <w:p w:rsidR="001D7459" w:rsidRPr="001D7459" w:rsidRDefault="001D7459" w:rsidP="001D745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459" w:rsidRPr="001D7459" w:rsidRDefault="001D7459" w:rsidP="001D745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D7459" w:rsidRPr="00CA1A88" w:rsidRDefault="001D7459" w:rsidP="00CA1A8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исполнения Прогноза среднесписочной численности работников, </w:t>
      </w:r>
      <w:r w:rsidR="00CA1A88" w:rsidRPr="00CA1A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1A8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человек</w:t>
      </w:r>
    </w:p>
    <w:p w:rsidR="001D7459" w:rsidRPr="001D7459" w:rsidRDefault="001D7459" w:rsidP="001D745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D745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6FAF4DF9" wp14:editId="334F3B80">
            <wp:extent cx="5972175" cy="29241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D7459" w:rsidRPr="001D7459" w:rsidRDefault="001D7459" w:rsidP="001D745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D7459" w:rsidRPr="001D7459" w:rsidRDefault="001D7459" w:rsidP="001D7459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Рис.9</w:t>
      </w:r>
    </w:p>
    <w:p w:rsidR="001D7459" w:rsidRPr="001D7459" w:rsidRDefault="001D7459" w:rsidP="001D7459">
      <w:pPr>
        <w:keepNext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D7459" w:rsidRPr="001D7459" w:rsidRDefault="001D7459" w:rsidP="001D7459">
      <w:pPr>
        <w:keepNext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справки:</w:t>
      </w:r>
    </w:p>
    <w:p w:rsidR="001D7459" w:rsidRPr="001D7459" w:rsidRDefault="001D7459" w:rsidP="001D7459">
      <w:pPr>
        <w:keepNext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зарегистрированной безработицы снизился с 0,6 % </w:t>
      </w:r>
      <w:r w:rsidR="00CA1A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01.01.2024 года) до 0,5 % (на 01.01.2025 года), численность </w:t>
      </w:r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зарегистрированных безработных снизилась с 466 человек (на 01.01.2024 года) до 344 человек (</w:t>
      </w:r>
      <w:proofErr w:type="gramStart"/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01.01.2025 года).</w:t>
      </w:r>
    </w:p>
    <w:p w:rsidR="001D7459" w:rsidRPr="001D7459" w:rsidRDefault="001D7459" w:rsidP="001D745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01.07.2025 года уровень зарегистрированной безработицы снизился </w:t>
      </w:r>
      <w:r w:rsidR="00CA1A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0,36 %, численность зарегистрированных</w:t>
      </w:r>
      <w:r w:rsidRPr="001D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безработных – 334 человек.</w:t>
      </w:r>
    </w:p>
    <w:p w:rsidR="001D7459" w:rsidRPr="001D7459" w:rsidRDefault="001D7459" w:rsidP="001D745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01.07.2025 года заявленная потребность в работниках организаций округа составила 2 024 вакансии.</w:t>
      </w:r>
    </w:p>
    <w:p w:rsidR="001D7459" w:rsidRPr="001D7459" w:rsidRDefault="001D7459" w:rsidP="001D7459">
      <w:pPr>
        <w:keepNext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мониторинга создания постоянных рабочих мест </w:t>
      </w:r>
      <w:r w:rsidR="00CA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7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округа за январь-июнь 2025 года на предприятиях округа создано 468 новых рабочих мест, из них на крупных и средних – 31 рабочее место; в </w:t>
      </w:r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малых и средних предприятиях – 437  рабочих мест.</w:t>
      </w:r>
      <w:proofErr w:type="gramEnd"/>
    </w:p>
    <w:p w:rsidR="001D7459" w:rsidRPr="001D7459" w:rsidRDefault="001D7459" w:rsidP="001D745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kern w:val="1"/>
          <w:sz w:val="28"/>
          <w:szCs w:val="28"/>
          <w:lang w:eastAsia="ar-SA"/>
        </w:rPr>
      </w:pPr>
    </w:p>
    <w:p w:rsidR="001D7459" w:rsidRPr="001D7459" w:rsidRDefault="001D7459" w:rsidP="001D745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459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Среднесписочная численность работников (без внешних совместителей) </w:t>
      </w:r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1D7459" w:rsidRPr="001D7459" w:rsidRDefault="001D7459" w:rsidP="001D745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4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4, человек</w:t>
      </w:r>
    </w:p>
    <w:tbl>
      <w:tblPr>
        <w:tblStyle w:val="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576"/>
        <w:gridCol w:w="1183"/>
        <w:gridCol w:w="1443"/>
        <w:gridCol w:w="1960"/>
        <w:gridCol w:w="2477"/>
      </w:tblGrid>
      <w:tr w:rsidR="00CF3290" w:rsidRPr="00CF3290" w:rsidTr="00CF3290">
        <w:trPr>
          <w:trHeight w:val="105"/>
          <w:tblHeader/>
          <w:jc w:val="center"/>
        </w:trPr>
        <w:tc>
          <w:tcPr>
            <w:tcW w:w="2802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275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2024 год</w:t>
            </w:r>
          </w:p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факт</w:t>
            </w:r>
          </w:p>
        </w:tc>
        <w:tc>
          <w:tcPr>
            <w:tcW w:w="1560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 xml:space="preserve"> % к факту 2023 года</w:t>
            </w:r>
          </w:p>
        </w:tc>
        <w:tc>
          <w:tcPr>
            <w:tcW w:w="2126" w:type="dxa"/>
            <w:vAlign w:val="center"/>
          </w:tcPr>
          <w:p w:rsidR="00CF3290" w:rsidRPr="00CF3290" w:rsidRDefault="00CF3290" w:rsidP="00CF3290">
            <w:pPr>
              <w:keepNext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1 полугодие 2025 года факт</w:t>
            </w:r>
          </w:p>
        </w:tc>
        <w:tc>
          <w:tcPr>
            <w:tcW w:w="2693" w:type="dxa"/>
            <w:vAlign w:val="center"/>
          </w:tcPr>
          <w:p w:rsidR="00CF3290" w:rsidRPr="00CF3290" w:rsidRDefault="00CF3290" w:rsidP="00CF3290">
            <w:pPr>
              <w:keepNext/>
              <w:ind w:left="-57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% к факту 1 полугодия 2025 года</w:t>
            </w:r>
          </w:p>
        </w:tc>
      </w:tr>
      <w:tr w:rsidR="00CF3290" w:rsidRPr="00CF3290" w:rsidTr="00CF3290">
        <w:trPr>
          <w:jc w:val="center"/>
        </w:trPr>
        <w:tc>
          <w:tcPr>
            <w:tcW w:w="2802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1275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778 865</w:t>
            </w:r>
          </w:p>
        </w:tc>
        <w:tc>
          <w:tcPr>
            <w:tcW w:w="1560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101,9</w:t>
            </w:r>
          </w:p>
        </w:tc>
        <w:tc>
          <w:tcPr>
            <w:tcW w:w="2126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787 827</w:t>
            </w:r>
          </w:p>
        </w:tc>
        <w:tc>
          <w:tcPr>
            <w:tcW w:w="2693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99,6</w:t>
            </w:r>
          </w:p>
        </w:tc>
      </w:tr>
      <w:tr w:rsidR="00CF3290" w:rsidRPr="00CF3290" w:rsidTr="00CF3290">
        <w:trPr>
          <w:jc w:val="center"/>
        </w:trPr>
        <w:tc>
          <w:tcPr>
            <w:tcW w:w="2802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Златоустовский ГО</w:t>
            </w:r>
          </w:p>
        </w:tc>
        <w:tc>
          <w:tcPr>
            <w:tcW w:w="1275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26 965</w:t>
            </w:r>
          </w:p>
        </w:tc>
        <w:tc>
          <w:tcPr>
            <w:tcW w:w="1560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100,6</w:t>
            </w:r>
          </w:p>
        </w:tc>
        <w:tc>
          <w:tcPr>
            <w:tcW w:w="2126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27 336</w:t>
            </w:r>
          </w:p>
        </w:tc>
        <w:tc>
          <w:tcPr>
            <w:tcW w:w="2693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97,8</w:t>
            </w:r>
          </w:p>
        </w:tc>
      </w:tr>
      <w:tr w:rsidR="00CF3290" w:rsidRPr="00CF3290" w:rsidTr="00CF3290">
        <w:trPr>
          <w:jc w:val="center"/>
        </w:trPr>
        <w:tc>
          <w:tcPr>
            <w:tcW w:w="2802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CF3290">
              <w:rPr>
                <w:rFonts w:eastAsia="Times New Roman"/>
                <w:sz w:val="24"/>
                <w:szCs w:val="24"/>
              </w:rPr>
              <w:t>Миасский</w:t>
            </w:r>
            <w:proofErr w:type="spellEnd"/>
            <w:proofErr w:type="gramEnd"/>
            <w:r w:rsidRPr="00CF3290">
              <w:rPr>
                <w:rFonts w:eastAsia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75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39 789</w:t>
            </w:r>
          </w:p>
        </w:tc>
        <w:tc>
          <w:tcPr>
            <w:tcW w:w="1560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102,8</w:t>
            </w:r>
          </w:p>
        </w:tc>
        <w:tc>
          <w:tcPr>
            <w:tcW w:w="2126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40 282</w:t>
            </w:r>
          </w:p>
        </w:tc>
        <w:tc>
          <w:tcPr>
            <w:tcW w:w="2693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100,4</w:t>
            </w:r>
          </w:p>
        </w:tc>
      </w:tr>
      <w:tr w:rsidR="00CF3290" w:rsidRPr="00CF3290" w:rsidTr="00CF3290">
        <w:trPr>
          <w:jc w:val="center"/>
        </w:trPr>
        <w:tc>
          <w:tcPr>
            <w:tcW w:w="2802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CF3290">
              <w:rPr>
                <w:rFonts w:eastAsia="Times New Roman"/>
                <w:sz w:val="24"/>
                <w:szCs w:val="24"/>
              </w:rPr>
              <w:t>Копейский</w:t>
            </w:r>
            <w:proofErr w:type="spellEnd"/>
            <w:r w:rsidRPr="00CF3290">
              <w:rPr>
                <w:rFonts w:eastAsia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75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25 851</w:t>
            </w:r>
          </w:p>
        </w:tc>
        <w:tc>
          <w:tcPr>
            <w:tcW w:w="1560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104,3</w:t>
            </w:r>
          </w:p>
        </w:tc>
        <w:tc>
          <w:tcPr>
            <w:tcW w:w="2126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27 307</w:t>
            </w:r>
          </w:p>
        </w:tc>
        <w:tc>
          <w:tcPr>
            <w:tcW w:w="2693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102,3</w:t>
            </w:r>
          </w:p>
        </w:tc>
      </w:tr>
      <w:tr w:rsidR="00CF3290" w:rsidRPr="00CF3290" w:rsidTr="00CF3290">
        <w:trPr>
          <w:jc w:val="center"/>
        </w:trPr>
        <w:tc>
          <w:tcPr>
            <w:tcW w:w="4077" w:type="dxa"/>
            <w:gridSpan w:val="2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Златоустовский ГО к уровню Челябинской области,%</w:t>
            </w:r>
          </w:p>
        </w:tc>
        <w:tc>
          <w:tcPr>
            <w:tcW w:w="1560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3,5</w:t>
            </w:r>
          </w:p>
        </w:tc>
        <w:tc>
          <w:tcPr>
            <w:tcW w:w="4819" w:type="dxa"/>
            <w:gridSpan w:val="2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3,5</w:t>
            </w:r>
          </w:p>
        </w:tc>
      </w:tr>
      <w:tr w:rsidR="00CF3290" w:rsidRPr="00CF3290" w:rsidTr="00CF3290">
        <w:trPr>
          <w:jc w:val="center"/>
        </w:trPr>
        <w:tc>
          <w:tcPr>
            <w:tcW w:w="4077" w:type="dxa"/>
            <w:gridSpan w:val="2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 xml:space="preserve">Златоустовский ГО к уровню </w:t>
            </w:r>
            <w:proofErr w:type="spellStart"/>
            <w:r w:rsidRPr="00CF3290">
              <w:rPr>
                <w:rFonts w:eastAsia="Times New Roman"/>
                <w:sz w:val="24"/>
                <w:szCs w:val="24"/>
              </w:rPr>
              <w:t>Миасского</w:t>
            </w:r>
            <w:proofErr w:type="spellEnd"/>
            <w:r w:rsidRPr="00CF3290">
              <w:rPr>
                <w:rFonts w:eastAsia="Times New Roman"/>
                <w:sz w:val="24"/>
                <w:szCs w:val="24"/>
              </w:rPr>
              <w:t xml:space="preserve"> ГО, %</w:t>
            </w:r>
          </w:p>
        </w:tc>
        <w:tc>
          <w:tcPr>
            <w:tcW w:w="1560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67,8</w:t>
            </w:r>
          </w:p>
        </w:tc>
        <w:tc>
          <w:tcPr>
            <w:tcW w:w="4819" w:type="dxa"/>
            <w:gridSpan w:val="2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67,9</w:t>
            </w:r>
          </w:p>
        </w:tc>
      </w:tr>
      <w:tr w:rsidR="00CF3290" w:rsidRPr="00CF3290" w:rsidTr="00CF3290">
        <w:trPr>
          <w:jc w:val="center"/>
        </w:trPr>
        <w:tc>
          <w:tcPr>
            <w:tcW w:w="4077" w:type="dxa"/>
            <w:gridSpan w:val="2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 xml:space="preserve">Златоустовский ГО к уровню </w:t>
            </w:r>
            <w:proofErr w:type="spellStart"/>
            <w:r w:rsidRPr="00CF3290">
              <w:rPr>
                <w:rFonts w:eastAsia="Times New Roman"/>
                <w:sz w:val="24"/>
                <w:szCs w:val="24"/>
              </w:rPr>
              <w:t>Копейского</w:t>
            </w:r>
            <w:proofErr w:type="spellEnd"/>
            <w:r w:rsidRPr="00CF3290">
              <w:rPr>
                <w:rFonts w:eastAsia="Times New Roman"/>
                <w:sz w:val="24"/>
                <w:szCs w:val="24"/>
              </w:rPr>
              <w:t xml:space="preserve"> ГО, %</w:t>
            </w:r>
          </w:p>
        </w:tc>
        <w:tc>
          <w:tcPr>
            <w:tcW w:w="1560" w:type="dxa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104,3</w:t>
            </w:r>
          </w:p>
        </w:tc>
        <w:tc>
          <w:tcPr>
            <w:tcW w:w="4819" w:type="dxa"/>
            <w:gridSpan w:val="2"/>
            <w:vAlign w:val="center"/>
          </w:tcPr>
          <w:p w:rsidR="00CF3290" w:rsidRPr="00CF3290" w:rsidRDefault="00CF3290" w:rsidP="00CF3290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CF3290">
              <w:rPr>
                <w:rFonts w:eastAsia="Times New Roman"/>
                <w:sz w:val="24"/>
                <w:szCs w:val="24"/>
              </w:rPr>
              <w:t>100,1</w:t>
            </w:r>
          </w:p>
        </w:tc>
      </w:tr>
    </w:tbl>
    <w:p w:rsidR="001D7459" w:rsidRDefault="001D7459" w:rsidP="001D7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C72" w:rsidRPr="000F6C72" w:rsidRDefault="000F6C72" w:rsidP="000F6C72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bookmarkStart w:id="8" w:name="_Toc211243198"/>
      <w:r w:rsidRPr="000F6C7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lastRenderedPageBreak/>
        <w:t>ОБЪЕМ ПРОДУКЦИИ СЕЛЬСКОГО ХОЗЯЙСТВА</w:t>
      </w:r>
      <w:bookmarkEnd w:id="8"/>
    </w:p>
    <w:p w:rsidR="000F6C72" w:rsidRPr="006E22F6" w:rsidRDefault="000F6C72" w:rsidP="000F6C7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«Объем продукции сельского хозяйства» в 2024 году составил 569,9 млн. рублей (снижение к факту 2023 года на 15,7 млн. рублей).</w:t>
      </w:r>
    </w:p>
    <w:p w:rsidR="000F6C72" w:rsidRPr="000F6C72" w:rsidRDefault="000F6C72" w:rsidP="000F6C7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итогам 2025 года показатель оценивается на уровне 629,9 млн. рублей (рост на 60,3 млн. рублей к 2024 году).</w:t>
      </w:r>
    </w:p>
    <w:p w:rsidR="000F6C72" w:rsidRPr="000F6C72" w:rsidRDefault="000F6C72" w:rsidP="000F6C7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Прогноз в базовом варианте:</w:t>
      </w:r>
    </w:p>
    <w:p w:rsidR="000F6C72" w:rsidRPr="000F6C72" w:rsidRDefault="000F6C72" w:rsidP="000F6C72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- в 2026 году – 643,3 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рублей </w:t>
      </w: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(рост к 2025 году на 13,4 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</w:t>
      </w: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);</w:t>
      </w:r>
    </w:p>
    <w:p w:rsidR="000F6C72" w:rsidRPr="000F6C72" w:rsidRDefault="000F6C72" w:rsidP="000F6C72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- в 2027 году – 670,9 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рублей </w:t>
      </w: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(рост к 2026 году на 27,6 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</w:t>
      </w: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);</w:t>
      </w:r>
    </w:p>
    <w:p w:rsidR="000F6C72" w:rsidRPr="000F6C72" w:rsidRDefault="000F6C72" w:rsidP="000F6C72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- в 2028 году – 699,8 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рублей </w:t>
      </w: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(рост к 2027 году на 28,9 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рублей</w:t>
      </w: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).</w:t>
      </w:r>
    </w:p>
    <w:p w:rsidR="000F6C72" w:rsidRPr="000F6C72" w:rsidRDefault="000F6C72" w:rsidP="000F6C72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продукции сельского хозяйства, млн. рублей</w:t>
      </w:r>
    </w:p>
    <w:p w:rsidR="000F6C72" w:rsidRPr="000F6C72" w:rsidRDefault="000F6C72" w:rsidP="000F6C7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15791BF5" wp14:editId="6232428B">
            <wp:extent cx="5953125" cy="2647950"/>
            <wp:effectExtent l="0" t="0" r="0" b="0"/>
            <wp:docPr id="10" name="Объект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F6C72" w:rsidRPr="000F6C72" w:rsidRDefault="000F6C72" w:rsidP="000F6C72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Рис. 10</w:t>
      </w:r>
    </w:p>
    <w:p w:rsidR="000F6C72" w:rsidRPr="006E22F6" w:rsidRDefault="000F6C72" w:rsidP="000F6C72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</w:pPr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показателя «Объем продукции сельского хозяйства»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5 лет представлено на диаграмме (рис. 11). </w:t>
      </w:r>
      <w:proofErr w:type="gramEnd"/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</w:t>
      </w:r>
      <w:proofErr w:type="gramStart"/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Прогноза объема продукции сельского хозяйства </w:t>
      </w:r>
      <w:r w:rsidR="00377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труда наемных</w:t>
      </w:r>
      <w:proofErr w:type="gramEnd"/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млн. рублей</w:t>
      </w:r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600E565" wp14:editId="7B6D27AF">
            <wp:extent cx="6048375" cy="26670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Рис.11</w:t>
      </w:r>
    </w:p>
    <w:p w:rsidR="000F6C72" w:rsidRPr="000F6C72" w:rsidRDefault="000F6C72" w:rsidP="000F6C72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оказания содействия развитию садоводства Администра</w:t>
      </w:r>
      <w:r w:rsidR="00377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 Златоустовского городского 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активно осуществляет деятельность </w:t>
      </w:r>
      <w:r w:rsidR="00377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поддержке садоводов. Реализуется подпрограмма «Развитие сельского хозяйства и поддержка ведения садоводства и огородничества для собственных нужд на территории Златоустовского городского округа» муниципальной программы </w:t>
      </w:r>
      <w:r w:rsidRPr="000F6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«Совершенствование муниципального управления», утвержденной постановлением Администрации Златоустовского городского округа </w:t>
      </w:r>
      <w:r w:rsidR="003774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18.11.2022 </w:t>
      </w:r>
      <w:r w:rsidRPr="000F6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№ 504-П предусмотрено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субсидий </w:t>
      </w:r>
      <w:r w:rsidR="00377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поддержку садоводческих некоммерческих товариществ, расположенных </w:t>
      </w:r>
      <w:r w:rsidR="00377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округа.</w:t>
      </w:r>
    </w:p>
    <w:p w:rsidR="000F6C72" w:rsidRPr="000F6C72" w:rsidRDefault="000F6C72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на исполнение мероприятий Программы будет открыто ассигнований на сумму 2 348,0 тыс. руб., в том числе:</w:t>
      </w:r>
    </w:p>
    <w:p w:rsidR="000F6C72" w:rsidRPr="000F6C72" w:rsidRDefault="000F6C72" w:rsidP="000F6C72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средств областного бюджета на сумму 1 348,0 тыс. рублей</w:t>
      </w:r>
    </w:p>
    <w:p w:rsidR="000F6C72" w:rsidRPr="000F6C72" w:rsidRDefault="000F6C72" w:rsidP="000F6C72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средств местного бюджета на сумму 1 000,0 тыс. рублей.</w:t>
      </w:r>
    </w:p>
    <w:p w:rsidR="000F6C72" w:rsidRPr="000F6C72" w:rsidRDefault="000F6C72" w:rsidP="000F6C72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предусмотрены на возмещение части произведенных затрат, которые будут освоены в 4 квартале 2025 года.  </w:t>
      </w:r>
    </w:p>
    <w:p w:rsidR="000F6C72" w:rsidRDefault="000F6C72" w:rsidP="000F6C72">
      <w:pPr>
        <w:keepNext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7742F" w:rsidRPr="000F6C72" w:rsidRDefault="0037742F" w:rsidP="000F6C72">
      <w:pPr>
        <w:keepNext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Toc211243199"/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ИНВЕСТИЦИЙ В ОСНОВНОЙ КАПИТАЛ ЗА СЧЕТ ВСЕХ ИСТОЧНИКОВ ФИНАНСИРОВАНИЯ ПО КРУПНЫМ И СРЕДНИМ ОРГАНИЗАЦИЯМ</w:t>
      </w:r>
      <w:bookmarkEnd w:id="9"/>
    </w:p>
    <w:p w:rsidR="000F6C72" w:rsidRPr="000F6C72" w:rsidRDefault="000F6C72" w:rsidP="000F6C72">
      <w:pPr>
        <w:keepNext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F6C72" w:rsidRPr="000F6C72" w:rsidRDefault="000F6C72" w:rsidP="000F6C72">
      <w:pPr>
        <w:keepNext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«Объем инвестиций в основной капитал по крупным </w:t>
      </w:r>
      <w:r w:rsidR="00377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средним организациям» в 2024 году составил – 3 млрд. 120,4 млн. рублей (рост к факту 2023 года – на 567,3 млн. рублей).</w:t>
      </w:r>
    </w:p>
    <w:p w:rsidR="000F6C72" w:rsidRPr="000F6C72" w:rsidRDefault="000F6C72" w:rsidP="000F6C72">
      <w:pPr>
        <w:keepNext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оценке объем инвестиций в основной капитал в 2025 году составит </w:t>
      </w:r>
      <w:r w:rsidR="00377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3 млрд. 301,4 млн. рублей (рост к 2024 году – на 181,0 млн. рублей).</w:t>
      </w:r>
    </w:p>
    <w:p w:rsidR="000F6C72" w:rsidRPr="000F6C72" w:rsidRDefault="000F6C72" w:rsidP="000F6C72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инвестиций в основной капитал за счет всех источников финансирования по крупным и средним организациям в расчете на 1 жителя оценивается в размере:</w:t>
      </w:r>
    </w:p>
    <w:p w:rsidR="000F6C72" w:rsidRPr="000F6C72" w:rsidRDefault="000F6C72" w:rsidP="000F6C72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- 2024 год – 11 704,0 рублей;</w:t>
      </w:r>
    </w:p>
    <w:p w:rsidR="000F6C72" w:rsidRPr="000F6C72" w:rsidRDefault="000F6C72" w:rsidP="000F6C72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2025 года – 12 126,3 рублей.</w:t>
      </w:r>
    </w:p>
    <w:p w:rsidR="000F6C72" w:rsidRPr="000F6C72" w:rsidRDefault="000F6C72" w:rsidP="000F6C72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объем инвестиций в основной капитал в базовом варианте:</w:t>
      </w:r>
    </w:p>
    <w:p w:rsidR="000F6C72" w:rsidRPr="000F6C72" w:rsidRDefault="000F6C72" w:rsidP="000F6C72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2026 году – 3 млрд. 482,9 млн. рублей (рост к 2025 году на 181,6 млн. рублей);</w:t>
      </w:r>
    </w:p>
    <w:p w:rsidR="000F6C72" w:rsidRPr="000F6C72" w:rsidRDefault="000F6C72" w:rsidP="000F6C72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2027 году – 3 млрд. 657,1 млн. рублей (рост к 2026 году на 174,2 млн. рублей);</w:t>
      </w:r>
    </w:p>
    <w:p w:rsidR="000F6C72" w:rsidRPr="000F6C72" w:rsidRDefault="000F6C72" w:rsidP="000F6C72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2028 году – 3 млрд. 852,3 млн. рублей (рост к 2027 году на 195,2 млн. рублей).</w:t>
      </w:r>
    </w:p>
    <w:p w:rsidR="000F6C72" w:rsidRPr="000F6C72" w:rsidRDefault="000F6C72" w:rsidP="000F6C72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7742F" w:rsidRDefault="0037742F" w:rsidP="0037742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2F6" w:rsidRPr="0037742F" w:rsidRDefault="006E22F6" w:rsidP="0037742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C72" w:rsidRPr="000F6C72" w:rsidRDefault="000F6C72" w:rsidP="0037742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Инвестиции в основной капитал за счет всех источников финансирования</w:t>
      </w:r>
    </w:p>
    <w:p w:rsidR="000F6C72" w:rsidRPr="000F6C72" w:rsidRDefault="000F6C72" w:rsidP="0037742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крупным и средним организациям, млн. руб</w:t>
      </w:r>
      <w:r w:rsidRPr="000F6C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0F6C72" w:rsidRPr="000F6C72" w:rsidRDefault="000F6C72" w:rsidP="000F6C72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F6C72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1819CF95" wp14:editId="313D32D0">
            <wp:extent cx="5908059" cy="2752725"/>
            <wp:effectExtent l="0" t="0" r="0" b="0"/>
            <wp:docPr id="12" name="Диаграмм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F6C72" w:rsidRPr="000F6C72" w:rsidRDefault="000F6C72" w:rsidP="000F6C72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F6C72" w:rsidRPr="000F6C72" w:rsidRDefault="000F6C72" w:rsidP="000F6C72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6C72">
        <w:rPr>
          <w:rFonts w:ascii="Times New Roman" w:eastAsia="Times New Roman" w:hAnsi="Times New Roman" w:cs="Times New Roman"/>
          <w:sz w:val="28"/>
          <w:szCs w:val="28"/>
        </w:rPr>
        <w:t xml:space="preserve">Рис. 12 </w:t>
      </w:r>
    </w:p>
    <w:p w:rsidR="000F6C72" w:rsidRPr="000F6C72" w:rsidRDefault="000F6C72" w:rsidP="000F6C72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показателя «Объем инвестиций в основной капитал за счет всех источников финансирования по крупным и средним организациям» </w:t>
      </w:r>
      <w:r w:rsidR="00377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5 лет представлено на диаграмме (рис. 13). </w:t>
      </w:r>
      <w:proofErr w:type="gramEnd"/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F6C72" w:rsidRPr="000F6C72" w:rsidRDefault="000F6C72" w:rsidP="0037742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исполнения Прогноза объема инвестиций в основной капитал </w:t>
      </w:r>
      <w:r w:rsidR="003774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всех источников финансирования по крупным и средним организациям, млрд. рублей</w:t>
      </w:r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4E250CEE" wp14:editId="7E6DE8FD">
            <wp:extent cx="6038850" cy="305752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Рис.13</w:t>
      </w:r>
    </w:p>
    <w:p w:rsidR="000F6C72" w:rsidRPr="000F6C72" w:rsidRDefault="000F6C72" w:rsidP="000F6C72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F6C72" w:rsidRPr="000F6C72" w:rsidRDefault="000F6C72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продолжается реализация следующих инвестиционных проектов:</w:t>
      </w:r>
    </w:p>
    <w:p w:rsidR="000F6C72" w:rsidRPr="000F6C72" w:rsidRDefault="000F6C72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37742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«Златоустовский машиностроительный завод» – техническое перевооружение корпусного производства.</w:t>
      </w:r>
    </w:p>
    <w:p w:rsidR="000F6C72" w:rsidRPr="000F6C72" w:rsidRDefault="000F6C72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инвестиций по проекту – 1 млрд. 176,2 млн. рублей.</w:t>
      </w:r>
    </w:p>
    <w:p w:rsidR="000F6C72" w:rsidRPr="000F6C72" w:rsidRDefault="000F6C72" w:rsidP="000F6C72">
      <w:pPr>
        <w:keepNext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реализации: до 31.12.2025 года.</w:t>
      </w:r>
    </w:p>
    <w:p w:rsidR="000F6C72" w:rsidRPr="000F6C72" w:rsidRDefault="0037742F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 «СМАРТ» – строительство второго производственного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административного корпусов по производству пищевых продуктов из семян подсолнечника и орехов.</w:t>
      </w:r>
    </w:p>
    <w:p w:rsidR="000F6C72" w:rsidRPr="000F6C72" w:rsidRDefault="000F6C72" w:rsidP="000F6C72">
      <w:pPr>
        <w:keepNext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инвестиций по проекту – 1 млрд. 80 млн. рублей.</w:t>
      </w:r>
    </w:p>
    <w:p w:rsidR="000F6C72" w:rsidRPr="000F6C72" w:rsidRDefault="000F6C72" w:rsidP="000F6C72">
      <w:pPr>
        <w:keepNext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создаваемых рабочих мест – 228.</w:t>
      </w:r>
    </w:p>
    <w:p w:rsidR="000F6C72" w:rsidRPr="000F6C72" w:rsidRDefault="000F6C72" w:rsidP="000F6C72">
      <w:pPr>
        <w:keepNext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реализации: до 2028 года.</w:t>
      </w:r>
    </w:p>
    <w:p w:rsidR="000F6C72" w:rsidRPr="000F6C72" w:rsidRDefault="0037742F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«Златоустовский металлургический завод» – модернизация производства и оборудования предприятия.</w:t>
      </w:r>
    </w:p>
    <w:p w:rsidR="000F6C72" w:rsidRPr="000F6C72" w:rsidRDefault="000F6C72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инвестиций по проекту – 986,5 млн. рублей.</w:t>
      </w:r>
    </w:p>
    <w:p w:rsidR="000F6C72" w:rsidRPr="000F6C72" w:rsidRDefault="000F6C72" w:rsidP="000F6C72">
      <w:pPr>
        <w:keepNext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реализации: до 31.12.2025 года.</w:t>
      </w:r>
    </w:p>
    <w:p w:rsidR="000F6C72" w:rsidRPr="000F6C72" w:rsidRDefault="000F6C72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ООО «Завод </w:t>
      </w:r>
      <w:proofErr w:type="spellStart"/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Стройтехника</w:t>
      </w:r>
      <w:proofErr w:type="spellEnd"/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замена станочного парка, реконструкция производственного здания, строительство производственного корпуса.</w:t>
      </w:r>
    </w:p>
    <w:p w:rsidR="000F6C72" w:rsidRPr="000F6C72" w:rsidRDefault="000F6C72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инвестиций по проекту – 196 млн. рублей.</w:t>
      </w:r>
    </w:p>
    <w:p w:rsidR="000F6C72" w:rsidRPr="000F6C72" w:rsidRDefault="000F6C72" w:rsidP="000F6C72">
      <w:pPr>
        <w:keepNext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реализации: до 2025-2027 годы</w:t>
      </w:r>
    </w:p>
    <w:p w:rsidR="000F6C72" w:rsidRPr="000F6C72" w:rsidRDefault="0037742F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«Элемент» – увеличение производственных мощностей предприятия</w:t>
      </w:r>
    </w:p>
    <w:p w:rsidR="000F6C72" w:rsidRPr="000F6C72" w:rsidRDefault="000F6C72" w:rsidP="000F6C72">
      <w:pPr>
        <w:keepNext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Calibri" w:hAnsi="Times New Roman" w:cs="Times New Roman"/>
          <w:sz w:val="28"/>
          <w:szCs w:val="28"/>
          <w:lang w:eastAsia="ru-RU"/>
        </w:rPr>
        <w:t>Объем инвестиций по проекту – 303,00 млн. рублей.</w:t>
      </w:r>
    </w:p>
    <w:p w:rsidR="000F6C72" w:rsidRPr="000F6C72" w:rsidRDefault="000F6C72" w:rsidP="000F6C72">
      <w:pPr>
        <w:keepNext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создаваемых рабочих мест – 221.</w:t>
      </w:r>
    </w:p>
    <w:p w:rsidR="000F6C72" w:rsidRPr="000F6C72" w:rsidRDefault="000F6C72" w:rsidP="000F6C72">
      <w:pPr>
        <w:keepNext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реализации: до 2026 года.</w:t>
      </w:r>
    </w:p>
    <w:p w:rsidR="000F6C72" w:rsidRPr="000F6C72" w:rsidRDefault="0037742F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Уреньга-Резорт</w:t>
      </w:r>
      <w:proofErr w:type="spellEnd"/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создание многофункционального семейного центра для досуга и отдыха «СПА на Тарелке» с номерами для размещения.</w:t>
      </w:r>
    </w:p>
    <w:p w:rsidR="000F6C72" w:rsidRPr="000F6C72" w:rsidRDefault="000F6C72" w:rsidP="000F6C72">
      <w:pPr>
        <w:keepNext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инвестиций – 168 млн. рублей.</w:t>
      </w:r>
    </w:p>
    <w:p w:rsidR="000F6C72" w:rsidRPr="000F6C72" w:rsidRDefault="000F6C72" w:rsidP="000F6C72">
      <w:pPr>
        <w:keepNext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создаваемых рабочих мест – 20.</w:t>
      </w:r>
    </w:p>
    <w:p w:rsidR="000F6C72" w:rsidRPr="000F6C72" w:rsidRDefault="000F6C72" w:rsidP="000F6C72">
      <w:pPr>
        <w:keepNext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реализации проекта: до 2026 года.</w:t>
      </w:r>
    </w:p>
    <w:p w:rsidR="000F6C72" w:rsidRPr="000F6C72" w:rsidRDefault="000F6C72" w:rsidP="000F6C72">
      <w:pPr>
        <w:keepNext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F6C72" w:rsidRPr="000F6C72" w:rsidRDefault="000F6C72" w:rsidP="0037742F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bookmarkStart w:id="10" w:name="_Toc211243200"/>
      <w:r w:rsidRPr="000F6C7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СРЕДНЕГОДОВАЯ СТОИМОСТЬ ИМУЩЕСТВА, ОБЛАГАЕМОГО НАЛОГОМ НА ИМУЩЕСТВО ОРГАНИЗАЦИЙ В СООТВЕТСТВИИ </w:t>
      </w:r>
      <w:r w:rsidR="0037742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br/>
      </w:r>
      <w:r w:rsidRPr="000F6C7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С ПУНКТОМ 1 СТАТЬИ 375 НАЛОГОВОГО КОДЕКСА </w:t>
      </w:r>
      <w:r w:rsidR="0037742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br/>
      </w:r>
      <w:r w:rsidRPr="000F6C7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РОССИЙСКОЙ ФЕДЕРАЦИИ</w:t>
      </w:r>
      <w:bookmarkEnd w:id="10"/>
    </w:p>
    <w:p w:rsidR="000F6C72" w:rsidRPr="000F6C72" w:rsidRDefault="000F6C72" w:rsidP="000F6C7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«Среднегодовая стоимость имущества, облагаемого налогом на имущество организаций» в 2024 году составил 7,8 млрд. рублей (снижение </w:t>
      </w:r>
      <w:r w:rsidR="003275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факту 2023 года на 0,05 млрд. рублей).</w:t>
      </w:r>
    </w:p>
    <w:p w:rsidR="000F6C72" w:rsidRPr="000F6C72" w:rsidRDefault="000F6C72" w:rsidP="000F6C72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2025 года показатель оценивается на уровне 8,2 млрд. рублей (рост на 0,4 млрд. рублей к 2024 году)</w:t>
      </w:r>
    </w:p>
    <w:p w:rsidR="000F6C72" w:rsidRPr="000F6C72" w:rsidRDefault="000F6C72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Прогноз среднегодовой стоимости имущества выполнен на основе сложившейся структуры имущества, с учетом динамики ввода и выбытия основных фондов, начислений амортизации и износа основных фондов.</w:t>
      </w:r>
    </w:p>
    <w:p w:rsidR="000F6C72" w:rsidRPr="000F6C72" w:rsidRDefault="000F6C72" w:rsidP="000F6C72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Прогноз в базовом варианте:</w:t>
      </w:r>
    </w:p>
    <w:p w:rsidR="000F6C72" w:rsidRPr="000F6C72" w:rsidRDefault="000F6C72" w:rsidP="000F6C72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- в 2026 году – 8,7 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</w:t>
      </w: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(рост к 2025 году на 0,5 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. рублей);</w:t>
      </w:r>
    </w:p>
    <w:p w:rsidR="000F6C72" w:rsidRPr="000F6C72" w:rsidRDefault="000F6C72" w:rsidP="000F6C72">
      <w:pPr>
        <w:keepNext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- в 2027 году – 9,1 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</w:t>
      </w: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(рост к 2026 году на 0,4 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млрд. </w:t>
      </w: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рублей);</w:t>
      </w:r>
    </w:p>
    <w:p w:rsidR="000F6C72" w:rsidRPr="000F6C72" w:rsidRDefault="000F6C72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- в 2028 году – 9,5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 рублей</w:t>
      </w: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(рост к 2027 году на 0,4 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млрд. </w:t>
      </w:r>
      <w:r w:rsidRPr="000F6C7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рублей).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F6C72" w:rsidRPr="000F6C72" w:rsidRDefault="000F6C72" w:rsidP="003275B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Среднегодовая стоимость имущества организаций, млн. рублей</w:t>
      </w:r>
    </w:p>
    <w:p w:rsidR="000F6C72" w:rsidRPr="000F6C72" w:rsidRDefault="000F6C72" w:rsidP="000F6C72">
      <w:pPr>
        <w:keepNext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6C72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1AFCECF2" wp14:editId="741ABE54">
            <wp:extent cx="6038850" cy="2809875"/>
            <wp:effectExtent l="0" t="0" r="0" b="0"/>
            <wp:docPr id="14" name="Объект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F6C72" w:rsidRPr="000F6C72" w:rsidRDefault="000F6C72" w:rsidP="000F6C72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Рис.14</w:t>
      </w:r>
    </w:p>
    <w:p w:rsidR="000F6C72" w:rsidRPr="000F6C72" w:rsidRDefault="000F6C72" w:rsidP="000F6C72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показателя «Среднегодовая стоимость имущества, облагаемого налогом на имущество организаций» за последние 5 лет представлено на диаграмме (рис. 5). </w:t>
      </w:r>
      <w:proofErr w:type="gramEnd"/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F6C72" w:rsidRPr="000F6C72" w:rsidRDefault="000F6C72" w:rsidP="003275B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исполнения Прогноза среднегодовой стоимости имущества, облагаемого налогом на имущество организаций, млрд. рублей</w:t>
      </w:r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151E9EA" wp14:editId="2E878DC0">
            <wp:extent cx="6038850" cy="3095625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Рис.15</w:t>
      </w:r>
    </w:p>
    <w:p w:rsidR="000F6C72" w:rsidRPr="000F6C72" w:rsidRDefault="000F6C72" w:rsidP="000F6C72">
      <w:pPr>
        <w:keepNext/>
        <w:tabs>
          <w:tab w:val="left" w:pos="720"/>
        </w:tabs>
        <w:suppressAutoHyphens/>
        <w:spacing w:after="0" w:line="240" w:lineRule="auto"/>
        <w:ind w:left="720" w:hanging="36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1"/>
          <w:sz w:val="28"/>
          <w:szCs w:val="28"/>
          <w:lang w:eastAsia="ar-SA"/>
        </w:rPr>
      </w:pPr>
    </w:p>
    <w:p w:rsidR="000F6C72" w:rsidRPr="000F6C72" w:rsidRDefault="000F6C72" w:rsidP="000F6C72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6C72" w:rsidRPr="000F6C72" w:rsidRDefault="000F6C72" w:rsidP="000F6C72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6C72" w:rsidRPr="000F6C72" w:rsidRDefault="000F6C72" w:rsidP="000F6C72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6C72" w:rsidRDefault="000F6C72" w:rsidP="000F6C72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6C72" w:rsidRPr="000F6C72" w:rsidRDefault="000F6C72" w:rsidP="003275BE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  <w:bookmarkStart w:id="11" w:name="_Toc211243201"/>
      <w:r w:rsidRPr="000F6C7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lastRenderedPageBreak/>
        <w:t>ИНФОРМАЦИЯ ДЛЯ СВЕДЕНИЯ</w:t>
      </w:r>
      <w:bookmarkEnd w:id="11"/>
    </w:p>
    <w:p w:rsidR="000F6C72" w:rsidRPr="000F6C72" w:rsidRDefault="000F6C72" w:rsidP="000F6C7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реализации муниципальной составляющей </w:t>
      </w:r>
    </w:p>
    <w:p w:rsidR="000F6C72" w:rsidRPr="000F6C72" w:rsidRDefault="000F6C72" w:rsidP="000F6C7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 проектов</w:t>
      </w:r>
    </w:p>
    <w:p w:rsidR="003275BE" w:rsidRDefault="000F6C72" w:rsidP="003275BE">
      <w:pPr>
        <w:keepNext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в округе реализуются 4 национальных проекта </w:t>
      </w:r>
      <w:r w:rsidR="003275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финансированием 503,8 млн. руб.</w:t>
      </w:r>
    </w:p>
    <w:p w:rsidR="003275BE" w:rsidRDefault="000F6C72" w:rsidP="003275BE">
      <w:pPr>
        <w:pStyle w:val="a9"/>
        <w:keepNext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Национальный проект «Семья»</w:t>
      </w:r>
      <w:r w:rsidRPr="0032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24,5 млн. руб. </w:t>
      </w:r>
    </w:p>
    <w:p w:rsidR="000F6C72" w:rsidRPr="003275BE" w:rsidRDefault="003275BE" w:rsidP="003275BE">
      <w:pPr>
        <w:pStyle w:val="a9"/>
        <w:keepNext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проект </w:t>
      </w:r>
      <w:r w:rsidR="000F6C72" w:rsidRPr="003275B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</w:t>
      </w:r>
      <w:r w:rsidRPr="0032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ейные ценности и инфраструктура </w:t>
      </w:r>
      <w:r w:rsidR="000F6C72" w:rsidRPr="00327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культуры» – 8,4 млн. руб. </w:t>
      </w:r>
    </w:p>
    <w:p w:rsidR="000F6C72" w:rsidRPr="000F6C72" w:rsidRDefault="000F6C72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Переоснащение муниципальной библиотеки № 22 по модельному стандарту, приобретение оборудования, мебели, книжной продукции. </w:t>
      </w:r>
    </w:p>
    <w:p w:rsidR="000F6C72" w:rsidRPr="000F6C72" w:rsidRDefault="000F6C72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проект  «Старшее поколение» – 16,1 млн. руб. </w:t>
      </w:r>
    </w:p>
    <w:p w:rsidR="000F6C72" w:rsidRPr="000F6C72" w:rsidRDefault="000F6C72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долговременного ухода за гражданами пожилого возраста и инвалидами. Осуществляются ежемесячные выплаты персоналу, оказывающему уход.</w:t>
      </w:r>
    </w:p>
    <w:p w:rsidR="000F6C72" w:rsidRPr="000F6C72" w:rsidRDefault="000F6C72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Продолжаются работы по ремонту фасада, входной группы и большого зала.</w:t>
      </w:r>
    </w:p>
    <w:p w:rsidR="000F6C72" w:rsidRPr="000F6C72" w:rsidRDefault="000F6C72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Национальный проект «Молодежь и дети»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83,8 млн. руб. </w:t>
      </w:r>
    </w:p>
    <w:p w:rsidR="000F6C72" w:rsidRPr="000F6C72" w:rsidRDefault="000F6C72" w:rsidP="000F6C72">
      <w:pPr>
        <w:keepNext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0F6C72" w:rsidRPr="000F6C72" w:rsidRDefault="000F6C72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проект  «Все лучшее детям»  – 2,3 млн. руб. </w:t>
      </w:r>
    </w:p>
    <w:p w:rsidR="000F6C72" w:rsidRPr="000F6C72" w:rsidRDefault="000F6C72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Оснащение предметных кабинетов общеобразовательных организаций (МАОУ СОШ № 1; 2; 18; 37; 90) средствами обучения и воспитания (приобретение оборудования). Проведение ремонтных работ по замене оконных блоков в муниципальных общеобразовательных организациях </w:t>
      </w:r>
      <w:r w:rsidR="003275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(МАОУ СОШ № 25).</w:t>
      </w:r>
    </w:p>
    <w:p w:rsidR="000F6C72" w:rsidRPr="000F6C72" w:rsidRDefault="000F6C72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Региональный  проект «Педагоги и наставники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– 79,1 млн. руб. </w:t>
      </w:r>
    </w:p>
    <w:p w:rsidR="000F6C72" w:rsidRPr="000F6C72" w:rsidRDefault="000F6C72" w:rsidP="003275BE">
      <w:pPr>
        <w:keepNext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C72">
        <w:rPr>
          <w:rFonts w:ascii="Times New Roman" w:eastAsia="Calibri" w:hAnsi="Times New Roman" w:cs="Times New Roman"/>
          <w:sz w:val="28"/>
          <w:szCs w:val="28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 (заработная плата советникам) и за классное руководство педагогическим работникам муниципальных образовательных организаций (заработная плата классным руководителям).</w:t>
      </w:r>
    </w:p>
    <w:p w:rsidR="000F6C72" w:rsidRPr="000F6C72" w:rsidRDefault="003275BE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«Мы вместе (Воспитание гармонично развитой личности)»  – 0,4 млн. руб. </w:t>
      </w:r>
    </w:p>
    <w:p w:rsidR="000F6C72" w:rsidRPr="000F6C72" w:rsidRDefault="000F6C72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работе с молодежью «Молодёжь и дети»:</w:t>
      </w:r>
    </w:p>
    <w:p w:rsidR="000F6C72" w:rsidRPr="000F6C72" w:rsidRDefault="003275BE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направленные на организацию и проведение молодежных образовательных форумов;</w:t>
      </w:r>
    </w:p>
    <w:p w:rsidR="003275BE" w:rsidRDefault="003275BE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профилактике и противодействию экстремизму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терроризму;</w:t>
      </w:r>
    </w:p>
    <w:p w:rsidR="003275BE" w:rsidRDefault="003275BE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направленные на поддержку работающей молодежи;</w:t>
      </w:r>
    </w:p>
    <w:p w:rsidR="003275BE" w:rsidRDefault="003275BE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направленные на вовлечение молодежи в социальное проектирование;</w:t>
      </w:r>
    </w:p>
    <w:p w:rsidR="003275BE" w:rsidRDefault="003275BE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направленные на вовлечение молодежи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добровольческую (волонтерскую) деятельность;</w:t>
      </w:r>
    </w:p>
    <w:p w:rsidR="003275BE" w:rsidRDefault="003275BE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направленные на гражданско-патриотическое воспитание.</w:t>
      </w:r>
    </w:p>
    <w:p w:rsidR="003275BE" w:rsidRDefault="00A61EFD" w:rsidP="003275B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проект  «Россия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страна возможностей»  – 2,0 млн. руб. </w:t>
      </w:r>
    </w:p>
    <w:p w:rsidR="001F1588" w:rsidRDefault="000F6C72" w:rsidP="001F158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и развитие молодежного пространства «Третий». Начаты ремонтные работы помещения в 3-м микрорайоне. Произведен демонтаж отделки внутренних помещений. Частично приобретены материальные ценности, такие как раздаточный материал, толстовки</w:t>
      </w:r>
      <w:r w:rsidR="001F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бейсболки, кружки, блокноты. </w:t>
      </w:r>
    </w:p>
    <w:p w:rsidR="001F1588" w:rsidRDefault="000F6C72" w:rsidP="001F158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Calibri" w:hAnsi="Times New Roman" w:cs="Times New Roman"/>
          <w:sz w:val="28"/>
          <w:szCs w:val="28"/>
        </w:rPr>
        <w:t xml:space="preserve">3. Национальный проект «Экологическое благополучие» – 11,7 млн. руб. </w:t>
      </w:r>
    </w:p>
    <w:p w:rsidR="000F6C72" w:rsidRPr="000F6C72" w:rsidRDefault="000F6C72" w:rsidP="001F158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проект «Экономика замкнутого цикла»</w:t>
      </w:r>
    </w:p>
    <w:p w:rsidR="000F6C72" w:rsidRPr="000F6C72" w:rsidRDefault="000F6C72" w:rsidP="001F1588">
      <w:pPr>
        <w:keepNext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мест (площадок) накопления твердых коммунальных отходов жилого фонда в количестве 20 шт. </w:t>
      </w:r>
    </w:p>
    <w:p w:rsidR="000F6C72" w:rsidRPr="000F6C72" w:rsidRDefault="000F6C72" w:rsidP="001F158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Закуплено контейнеров пластиковых передвижных для сбора ТКО </w:t>
      </w:r>
      <w:r w:rsidR="001F15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493 шт. </w:t>
      </w:r>
    </w:p>
    <w:p w:rsidR="000F6C72" w:rsidRPr="000F6C72" w:rsidRDefault="000F6C72" w:rsidP="000F6C72">
      <w:pPr>
        <w:keepNext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F6C72" w:rsidRPr="000F6C72" w:rsidRDefault="000F6C72" w:rsidP="001F158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Национальный проект «Инфраструктура для жизни» – 383,7 млн. руб. </w:t>
      </w:r>
    </w:p>
    <w:p w:rsidR="000F6C72" w:rsidRPr="000F6C72" w:rsidRDefault="000F6C72" w:rsidP="001F158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 проект «Формирование комфортной городской среды» – 81,8 млн. руб. </w:t>
      </w:r>
    </w:p>
    <w:p w:rsidR="000F6C72" w:rsidRPr="000F6C72" w:rsidRDefault="000F6C72" w:rsidP="001F158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4 общественных территорий:</w:t>
      </w:r>
    </w:p>
    <w:p w:rsidR="001F1588" w:rsidRDefault="001F1588" w:rsidP="001F158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сквер имени скульптора Владимира </w:t>
      </w:r>
      <w:proofErr w:type="spellStart"/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Жарикова</w:t>
      </w:r>
      <w:proofErr w:type="spellEnd"/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580D" w:rsidRDefault="001F1588" w:rsidP="00BE580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пешеходный тротуар вокруг сквера имени скульптора Владимира </w:t>
      </w:r>
      <w:proofErr w:type="spellStart"/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Жарикова</w:t>
      </w:r>
      <w:proofErr w:type="spellEnd"/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580D" w:rsidRDefault="00BE580D" w:rsidP="00BE580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пешеходная зона проспекта им. Ю.А. Гагарина от д. 9А по 8-й линии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кинотеатра «Космос» д. 8 по 4-й линии;</w:t>
      </w:r>
    </w:p>
    <w:p w:rsidR="000F6C72" w:rsidRPr="000F6C72" w:rsidRDefault="00BE580D" w:rsidP="00BE580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</w:t>
      </w:r>
      <w:proofErr w:type="gramEnd"/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между домами № 45 и 47 по улице К. Маркса.</w:t>
      </w:r>
    </w:p>
    <w:p w:rsidR="000F6C72" w:rsidRPr="000F6C72" w:rsidRDefault="000F6C72" w:rsidP="00BE580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проект «Модернизация коммунальной инфраструктуры» – 124,0 млн. руб. </w:t>
      </w:r>
    </w:p>
    <w:p w:rsidR="000F6C72" w:rsidRPr="000F6C72" w:rsidRDefault="000F6C72" w:rsidP="00BE580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к</w:t>
      </w:r>
      <w:r w:rsidR="00BE5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онтракт от 31.03.2025 г. № 46ЭА 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капитальный ремонт, замену коллектор</w:t>
      </w:r>
      <w:r w:rsidR="00BE580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канализации</w:t>
      </w:r>
      <w:proofErr w:type="gramStart"/>
      <w:r w:rsidR="00BE5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BE580D">
        <w:rPr>
          <w:rFonts w:ascii="Times New Roman" w:eastAsia="Times New Roman" w:hAnsi="Times New Roman" w:cs="Times New Roman"/>
          <w:sz w:val="28"/>
          <w:szCs w:val="28"/>
          <w:lang w:eastAsia="ru-RU"/>
        </w:rPr>
        <w:t>=1200мм (от КНС «Кварцит»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8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ул. Техническа</w:t>
      </w:r>
      <w:r w:rsidRPr="000F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13, Челябинская область, г. Златоуст).</w:t>
      </w:r>
      <w:r w:rsidR="00BE5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окончания выполнения работ 31.12.2026 г.</w:t>
      </w:r>
    </w:p>
    <w:p w:rsidR="000F6C72" w:rsidRPr="000F6C72" w:rsidRDefault="000F6C72" w:rsidP="00BE580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и размещен паспорт объекта. Произведены работы по вырубке аварийных деревьев, идёт демонтаж рельс.  </w:t>
      </w:r>
    </w:p>
    <w:p w:rsidR="000F6C72" w:rsidRPr="000F6C72" w:rsidRDefault="000F6C72" w:rsidP="00BE580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 проект «Жилье» – 177,9 млн. руб. </w:t>
      </w:r>
    </w:p>
    <w:p w:rsidR="000F6C72" w:rsidRDefault="000F6C72" w:rsidP="00BE580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жилых помещений по договору долевого участия </w:t>
      </w:r>
      <w:r w:rsidR="00BE58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мероприятий по переселению граждан из </w:t>
      </w:r>
      <w:proofErr w:type="spellStart"/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ветхоаварийного</w:t>
      </w:r>
      <w:proofErr w:type="spellEnd"/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фонда. </w:t>
      </w:r>
    </w:p>
    <w:p w:rsidR="002C15A2" w:rsidRPr="000F6C72" w:rsidRDefault="002C15A2" w:rsidP="00BE580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C72" w:rsidRDefault="000F6C72" w:rsidP="000F6C72">
      <w:pPr>
        <w:keepNext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 в действие жилых домов</w:t>
      </w:r>
    </w:p>
    <w:p w:rsidR="00E5389A" w:rsidRPr="000F6C72" w:rsidRDefault="00E5389A" w:rsidP="000F6C72">
      <w:pPr>
        <w:keepNext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C72" w:rsidRPr="000F6C72" w:rsidRDefault="000F6C72" w:rsidP="002C15A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полугодие 2025 года введено жилья по округу 22,6 тыс. кв. метров, что на 53,9 %  выше уровня аналогичного периода 2024 года.</w:t>
      </w:r>
    </w:p>
    <w:p w:rsidR="000F6C72" w:rsidRPr="000F6C72" w:rsidRDefault="000F6C72" w:rsidP="002C15A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ввода в эксплуатацию жилья на территории округа установленный постановлением Правительства </w:t>
      </w:r>
      <w:r w:rsidRPr="000F6C72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Челябинской области от 13.02.2025</w:t>
      </w:r>
      <w:r w:rsidR="002C15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Pr="000F6C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154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6C72" w:rsidRPr="000F6C72" w:rsidRDefault="000F6C72" w:rsidP="002C15A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27,7 тыс. кв. метров;</w:t>
      </w:r>
    </w:p>
    <w:p w:rsidR="000F6C72" w:rsidRPr="000F6C72" w:rsidRDefault="000F6C72" w:rsidP="002C15A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28,9 тыс. кв. метров;</w:t>
      </w:r>
    </w:p>
    <w:p w:rsidR="000F6C72" w:rsidRPr="000F6C72" w:rsidRDefault="000F6C72" w:rsidP="002C15A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30,8 тыс. кв. метров;</w:t>
      </w:r>
    </w:p>
    <w:p w:rsidR="000F6C72" w:rsidRPr="000F6C72" w:rsidRDefault="000F6C72" w:rsidP="002C15A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32,7 тыс. кв. метров.</w:t>
      </w:r>
    </w:p>
    <w:p w:rsidR="000F6C72" w:rsidRDefault="000F6C72" w:rsidP="000F6C72">
      <w:pPr>
        <w:keepNext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89A" w:rsidRPr="000F6C72" w:rsidRDefault="00E5389A" w:rsidP="000F6C72">
      <w:pPr>
        <w:keepNext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C72" w:rsidRPr="000F6C72" w:rsidRDefault="000F6C72" w:rsidP="00E2220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Доходы и расходы бюджета Златоустовского городского округа</w:t>
      </w:r>
    </w:p>
    <w:p w:rsidR="000F6C72" w:rsidRPr="000F6C72" w:rsidRDefault="000F6C72" w:rsidP="00E2220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и расходы бюджета округа за период 2024 г - 1 полугодие 2025 года представлены в таблице 6.</w:t>
      </w:r>
    </w:p>
    <w:p w:rsidR="00E22203" w:rsidRDefault="00E22203" w:rsidP="000F6C72">
      <w:pPr>
        <w:keepNext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6, млн. руб.</w:t>
      </w:r>
    </w:p>
    <w:tbl>
      <w:tblPr>
        <w:tblStyle w:val="2"/>
        <w:tblW w:w="9639" w:type="dxa"/>
        <w:jc w:val="center"/>
        <w:tblLook w:val="04A0" w:firstRow="1" w:lastRow="0" w:firstColumn="1" w:lastColumn="0" w:noHBand="0" w:noVBand="1"/>
      </w:tblPr>
      <w:tblGrid>
        <w:gridCol w:w="2414"/>
        <w:gridCol w:w="1518"/>
        <w:gridCol w:w="1518"/>
        <w:gridCol w:w="1962"/>
        <w:gridCol w:w="2227"/>
      </w:tblGrid>
      <w:tr w:rsidR="000F6C72" w:rsidRPr="00E22203" w:rsidTr="00616D31">
        <w:trPr>
          <w:trHeight w:val="1235"/>
          <w:jc w:val="center"/>
        </w:trPr>
        <w:tc>
          <w:tcPr>
            <w:tcW w:w="2660" w:type="dxa"/>
            <w:vAlign w:val="center"/>
          </w:tcPr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2024 год факт</w:t>
            </w:r>
          </w:p>
        </w:tc>
        <w:tc>
          <w:tcPr>
            <w:tcW w:w="1701" w:type="dxa"/>
            <w:vAlign w:val="center"/>
          </w:tcPr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% к 2022 году</w:t>
            </w:r>
          </w:p>
        </w:tc>
        <w:tc>
          <w:tcPr>
            <w:tcW w:w="2126" w:type="dxa"/>
            <w:vAlign w:val="center"/>
          </w:tcPr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1 полугодие 2025 года</w:t>
            </w:r>
          </w:p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факт</w:t>
            </w:r>
          </w:p>
        </w:tc>
        <w:tc>
          <w:tcPr>
            <w:tcW w:w="2438" w:type="dxa"/>
            <w:vAlign w:val="center"/>
          </w:tcPr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% к 1 полугодию 2024 года</w:t>
            </w:r>
          </w:p>
        </w:tc>
      </w:tr>
      <w:tr w:rsidR="000F6C72" w:rsidRPr="00E22203" w:rsidTr="00E22203">
        <w:trPr>
          <w:jc w:val="center"/>
        </w:trPr>
        <w:tc>
          <w:tcPr>
            <w:tcW w:w="2660" w:type="dxa"/>
            <w:vAlign w:val="center"/>
          </w:tcPr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Доходы бюджета</w:t>
            </w:r>
          </w:p>
        </w:tc>
        <w:tc>
          <w:tcPr>
            <w:tcW w:w="1701" w:type="dxa"/>
            <w:vAlign w:val="center"/>
          </w:tcPr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9 939,0</w:t>
            </w:r>
          </w:p>
        </w:tc>
        <w:tc>
          <w:tcPr>
            <w:tcW w:w="1701" w:type="dxa"/>
            <w:vAlign w:val="center"/>
          </w:tcPr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130,8</w:t>
            </w:r>
          </w:p>
        </w:tc>
        <w:tc>
          <w:tcPr>
            <w:tcW w:w="2126" w:type="dxa"/>
            <w:vAlign w:val="center"/>
          </w:tcPr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3 548,0</w:t>
            </w:r>
          </w:p>
        </w:tc>
        <w:tc>
          <w:tcPr>
            <w:tcW w:w="2438" w:type="dxa"/>
            <w:vAlign w:val="center"/>
          </w:tcPr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100,2</w:t>
            </w:r>
          </w:p>
        </w:tc>
      </w:tr>
      <w:tr w:rsidR="000F6C72" w:rsidRPr="00E22203" w:rsidTr="00E22203">
        <w:trPr>
          <w:jc w:val="center"/>
        </w:trPr>
        <w:tc>
          <w:tcPr>
            <w:tcW w:w="2660" w:type="dxa"/>
            <w:vAlign w:val="center"/>
          </w:tcPr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Расходы бюджета</w:t>
            </w:r>
          </w:p>
        </w:tc>
        <w:tc>
          <w:tcPr>
            <w:tcW w:w="1701" w:type="dxa"/>
            <w:vAlign w:val="center"/>
          </w:tcPr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9 815,6</w:t>
            </w:r>
          </w:p>
        </w:tc>
        <w:tc>
          <w:tcPr>
            <w:tcW w:w="1701" w:type="dxa"/>
            <w:vAlign w:val="center"/>
          </w:tcPr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129,8</w:t>
            </w:r>
          </w:p>
        </w:tc>
        <w:tc>
          <w:tcPr>
            <w:tcW w:w="2126" w:type="dxa"/>
            <w:vAlign w:val="center"/>
          </w:tcPr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3 946,4</w:t>
            </w:r>
          </w:p>
        </w:tc>
        <w:tc>
          <w:tcPr>
            <w:tcW w:w="2438" w:type="dxa"/>
            <w:vAlign w:val="center"/>
          </w:tcPr>
          <w:p w:rsidR="000F6C72" w:rsidRPr="00E22203" w:rsidRDefault="000F6C72" w:rsidP="000F6C72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113,1</w:t>
            </w:r>
          </w:p>
        </w:tc>
      </w:tr>
    </w:tbl>
    <w:p w:rsidR="000F6C72" w:rsidRPr="000F6C72" w:rsidRDefault="000F6C72" w:rsidP="000F6C7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Объём налоговых и неналоговых доходов за 1 полугодие 2025 года составил 1 млрд. 226,6 млн. руб. и снизился к уровню аналогичного пер</w:t>
      </w:r>
      <w:r w:rsidR="00616D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иода 2024 года на </w:t>
      </w:r>
      <w:r w:rsidRPr="000F6C72">
        <w:rPr>
          <w:rFonts w:ascii="Times New Roman" w:eastAsia="Times New Roman" w:hAnsi="Times New Roman" w:cs="Times New Roman"/>
          <w:sz w:val="28"/>
          <w:szCs w:val="24"/>
          <w:lang w:eastAsia="ru-RU"/>
        </w:rPr>
        <w:t>2,6 %.</w:t>
      </w:r>
    </w:p>
    <w:p w:rsidR="000F6C72" w:rsidRPr="00616D31" w:rsidRDefault="000F6C72" w:rsidP="000F6C72">
      <w:pPr>
        <w:keepNext/>
        <w:spacing w:after="0" w:line="240" w:lineRule="auto"/>
        <w:ind w:left="100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F6C72" w:rsidRDefault="000F6C72" w:rsidP="000F6C7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Потребительский рынок</w:t>
      </w:r>
    </w:p>
    <w:p w:rsidR="00616D31" w:rsidRPr="000F6C72" w:rsidRDefault="00616D31" w:rsidP="000F6C7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2022 года показатель «Оборот розничной торговли» </w:t>
      </w:r>
      <w:r w:rsidR="00E222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согласуется с Министерством экономического развития Челябинской области и не входит в состав основных показателей Прогноза.</w:t>
      </w:r>
    </w:p>
    <w:p w:rsidR="000F6C72" w:rsidRPr="000F6C72" w:rsidRDefault="000F6C72" w:rsidP="000F6C72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оборот розничной торговли по округу составил 18 млрд. 282,0 млн. руб.</w:t>
      </w:r>
    </w:p>
    <w:p w:rsidR="000F6C72" w:rsidRPr="000F6C72" w:rsidRDefault="000F6C72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Оборот розничной торговли за </w:t>
      </w:r>
      <w:r w:rsidRPr="000F6C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2025 года составил 10 млрд. 505,3 млн. руб. </w:t>
      </w:r>
    </w:p>
    <w:p w:rsidR="000F6C72" w:rsidRPr="000F6C72" w:rsidRDefault="000F6C72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01.07.2025г. сложилась следующая структура предприятий потребительского рынка округа: </w:t>
      </w:r>
    </w:p>
    <w:p w:rsidR="000F6C72" w:rsidRPr="000F6C72" w:rsidRDefault="00E22203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959 предприятий розничной торговли;</w:t>
      </w:r>
    </w:p>
    <w:p w:rsidR="000F6C72" w:rsidRPr="000F6C72" w:rsidRDefault="000F6C72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22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672 стационарных магазина с торговой площадью 148,32 тыс. кв.</w:t>
      </w:r>
      <w:r w:rsidR="00E2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м., </w:t>
      </w:r>
      <w:r w:rsidR="00E222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количеством торговых мест – 3 381;</w:t>
      </w:r>
    </w:p>
    <w:p w:rsidR="000F6C72" w:rsidRPr="000F6C72" w:rsidRDefault="00E22203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387 предприятий мелкорозничной сети с количеством торговых мест – 3554;</w:t>
      </w:r>
    </w:p>
    <w:p w:rsidR="000F6C72" w:rsidRPr="000F6C72" w:rsidRDefault="00E22203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23 предприятия оптовой торговли;</w:t>
      </w:r>
    </w:p>
    <w:p w:rsidR="000F6C72" w:rsidRPr="000F6C72" w:rsidRDefault="00E22203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102 предприятия открытой сети общественного питания на 3933 </w:t>
      </w:r>
      <w:proofErr w:type="gramStart"/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посадочных</w:t>
      </w:r>
      <w:proofErr w:type="gramEnd"/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места;</w:t>
      </w:r>
    </w:p>
    <w:p w:rsidR="000F6C72" w:rsidRPr="000F6C72" w:rsidRDefault="00E22203" w:rsidP="000F6C7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0F6C72"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517 предприятий бытового обслуживания с количеством рабочих мест – 1001.</w:t>
      </w:r>
    </w:p>
    <w:p w:rsidR="000F6C72" w:rsidRP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формой поддержки предпринимательской деятельности в сфере развития потребительского рынка является продвижение продукции местных, иногородних товаропроизводителей посредством </w:t>
      </w:r>
      <w:proofErr w:type="spellStart"/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-ярмарочной деятельности.</w:t>
      </w:r>
    </w:p>
    <w:p w:rsidR="000F6C72" w:rsidRDefault="000F6C72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полугодие 2025 года организовано и проведено 7 сельскохозяйственных ярмарок.</w:t>
      </w:r>
    </w:p>
    <w:p w:rsidR="00616D31" w:rsidRDefault="00616D31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D31" w:rsidRDefault="00616D31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D31" w:rsidRDefault="00616D31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E97" w:rsidRDefault="00EE4E97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30E" w:rsidRDefault="00CB030E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30E" w:rsidRDefault="00CB030E" w:rsidP="000F6C72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C72" w:rsidRPr="000F6C72" w:rsidRDefault="000F6C72" w:rsidP="000F6C7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сфера</w:t>
      </w:r>
    </w:p>
    <w:p w:rsidR="000F6C72" w:rsidRPr="000F6C72" w:rsidRDefault="000F6C72" w:rsidP="000F6C72">
      <w:pPr>
        <w:keepNext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7, млн. руб.</w:t>
      </w:r>
    </w:p>
    <w:tbl>
      <w:tblPr>
        <w:tblStyle w:val="2"/>
        <w:tblW w:w="9639" w:type="dxa"/>
        <w:jc w:val="center"/>
        <w:tblLook w:val="04A0" w:firstRow="1" w:lastRow="0" w:firstColumn="1" w:lastColumn="0" w:noHBand="0" w:noVBand="1"/>
      </w:tblPr>
      <w:tblGrid>
        <w:gridCol w:w="1808"/>
        <w:gridCol w:w="4630"/>
        <w:gridCol w:w="1297"/>
        <w:gridCol w:w="1904"/>
      </w:tblGrid>
      <w:tr w:rsidR="000F6C72" w:rsidRPr="00E22203" w:rsidTr="00616D31">
        <w:trPr>
          <w:trHeight w:val="1075"/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Направление</w:t>
            </w:r>
          </w:p>
        </w:tc>
        <w:tc>
          <w:tcPr>
            <w:tcW w:w="4724" w:type="dxa"/>
            <w:vMerge w:val="restart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550" w:type="dxa"/>
            <w:gridSpan w:val="2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 xml:space="preserve">Предусмотрено финансирование, </w:t>
            </w:r>
            <w:r w:rsidR="00616D31">
              <w:rPr>
                <w:rFonts w:eastAsia="Times New Roman"/>
                <w:sz w:val="24"/>
                <w:szCs w:val="24"/>
              </w:rPr>
              <w:br/>
            </w:r>
            <w:r w:rsidRPr="00E22203">
              <w:rPr>
                <w:rFonts w:eastAsia="Times New Roman"/>
                <w:sz w:val="24"/>
                <w:szCs w:val="24"/>
              </w:rPr>
              <w:t>млн. руб</w:t>
            </w:r>
            <w:r w:rsidR="00616D31">
              <w:rPr>
                <w:rFonts w:eastAsia="Times New Roman"/>
                <w:sz w:val="24"/>
                <w:szCs w:val="24"/>
              </w:rPr>
              <w:t>лей</w:t>
            </w:r>
            <w:r w:rsidRPr="00E22203">
              <w:rPr>
                <w:rFonts w:eastAsia="Calibri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0F6C72" w:rsidRPr="00E22203" w:rsidTr="00616D31">
        <w:trPr>
          <w:trHeight w:val="483"/>
          <w:tblHeader/>
          <w:jc w:val="center"/>
        </w:trPr>
        <w:tc>
          <w:tcPr>
            <w:tcW w:w="0" w:type="auto"/>
            <w:vMerge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24" w:type="dxa"/>
            <w:vMerge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2026 - 2027 годы</w:t>
            </w:r>
          </w:p>
        </w:tc>
      </w:tr>
      <w:tr w:rsidR="000F6C72" w:rsidRPr="00E22203" w:rsidTr="00616D31">
        <w:trPr>
          <w:trHeight w:val="114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Образование</w:t>
            </w:r>
          </w:p>
        </w:tc>
        <w:tc>
          <w:tcPr>
            <w:tcW w:w="4724" w:type="dxa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bCs/>
                <w:spacing w:val="-10"/>
                <w:sz w:val="24"/>
                <w:szCs w:val="24"/>
              </w:rPr>
              <w:t xml:space="preserve">Развитие </w:t>
            </w:r>
            <w:r w:rsidRPr="00E22203">
              <w:rPr>
                <w:rFonts w:eastAsia="Times New Roman"/>
                <w:sz w:val="24"/>
                <w:szCs w:val="24"/>
              </w:rPr>
              <w:t>образования</w:t>
            </w:r>
            <w:r w:rsidRPr="00E22203">
              <w:rPr>
                <w:rFonts w:eastAsia="Times New Roman"/>
                <w:sz w:val="24"/>
                <w:szCs w:val="24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307" w:type="dxa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3 545,7</w:t>
            </w:r>
          </w:p>
        </w:tc>
        <w:tc>
          <w:tcPr>
            <w:tcW w:w="0" w:type="auto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6 528,8</w:t>
            </w:r>
          </w:p>
        </w:tc>
      </w:tr>
      <w:tr w:rsidR="000F6C72" w:rsidRPr="00E22203" w:rsidTr="00616D31">
        <w:trPr>
          <w:trHeight w:val="111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F6C72" w:rsidRPr="00E22203" w:rsidRDefault="000F6C72" w:rsidP="00616D31">
            <w:pPr>
              <w:keepNext/>
              <w:jc w:val="center"/>
              <w:outlineLvl w:val="2"/>
              <w:rPr>
                <w:sz w:val="24"/>
                <w:szCs w:val="24"/>
              </w:rPr>
            </w:pPr>
            <w:r w:rsidRPr="00E22203">
              <w:rPr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4724" w:type="dxa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Социальная защита</w:t>
            </w:r>
          </w:p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населения Златоустовского</w:t>
            </w:r>
            <w:r w:rsidRPr="00E22203">
              <w:rPr>
                <w:rFonts w:eastAsia="Times New Roman"/>
                <w:sz w:val="24"/>
                <w:szCs w:val="24"/>
              </w:rPr>
              <w:br/>
              <w:t>городского округа</w:t>
            </w:r>
          </w:p>
        </w:tc>
        <w:tc>
          <w:tcPr>
            <w:tcW w:w="1307" w:type="dxa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1 289,6</w:t>
            </w:r>
          </w:p>
        </w:tc>
        <w:tc>
          <w:tcPr>
            <w:tcW w:w="0" w:type="auto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2 558,0</w:t>
            </w:r>
          </w:p>
        </w:tc>
      </w:tr>
      <w:tr w:rsidR="000F6C72" w:rsidRPr="00E22203" w:rsidTr="00616D31">
        <w:trPr>
          <w:trHeight w:val="42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4724" w:type="dxa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Развитие культуры в Златоустовском городском округе</w:t>
            </w:r>
          </w:p>
        </w:tc>
        <w:tc>
          <w:tcPr>
            <w:tcW w:w="1307" w:type="dxa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660,1</w:t>
            </w:r>
          </w:p>
        </w:tc>
        <w:tc>
          <w:tcPr>
            <w:tcW w:w="0" w:type="auto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1 298,6</w:t>
            </w:r>
          </w:p>
        </w:tc>
      </w:tr>
      <w:tr w:rsidR="000F6C72" w:rsidRPr="00E22203" w:rsidTr="00616D31">
        <w:trPr>
          <w:trHeight w:val="42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F6C72" w:rsidRPr="00E22203" w:rsidRDefault="000F6C72" w:rsidP="00616D31">
            <w:pPr>
              <w:keepNext/>
              <w:shd w:val="clear" w:color="auto" w:fill="FFFFFF"/>
              <w:tabs>
                <w:tab w:val="left" w:pos="-142"/>
                <w:tab w:val="left" w:pos="0"/>
                <w:tab w:val="left" w:pos="432"/>
              </w:tabs>
              <w:suppressAutoHyphens/>
              <w:ind w:right="29"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724" w:type="dxa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Развитие физической</w:t>
            </w:r>
            <w:r w:rsidRPr="00E22203">
              <w:rPr>
                <w:rFonts w:eastAsia="Times New Roman"/>
                <w:sz w:val="24"/>
                <w:szCs w:val="24"/>
              </w:rPr>
              <w:br/>
              <w:t>культуры и спорта в Златоустовском</w:t>
            </w:r>
            <w:r w:rsidRPr="00E22203">
              <w:rPr>
                <w:rFonts w:eastAsia="Times New Roman"/>
                <w:sz w:val="24"/>
                <w:szCs w:val="24"/>
              </w:rPr>
              <w:br/>
              <w:t>городском округе</w:t>
            </w:r>
          </w:p>
        </w:tc>
        <w:tc>
          <w:tcPr>
            <w:tcW w:w="1307" w:type="dxa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409,9</w:t>
            </w:r>
          </w:p>
        </w:tc>
        <w:tc>
          <w:tcPr>
            <w:tcW w:w="0" w:type="auto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815,7</w:t>
            </w:r>
          </w:p>
        </w:tc>
      </w:tr>
      <w:tr w:rsidR="000F6C72" w:rsidRPr="00E22203" w:rsidTr="00616D31">
        <w:trPr>
          <w:trHeight w:val="42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Сфера жилищно-коммунального хозяйства</w:t>
            </w:r>
          </w:p>
        </w:tc>
        <w:tc>
          <w:tcPr>
            <w:tcW w:w="4724" w:type="dxa"/>
            <w:vAlign w:val="center"/>
          </w:tcPr>
          <w:p w:rsidR="000F6C72" w:rsidRPr="00E22203" w:rsidRDefault="000F6C72" w:rsidP="00616D31">
            <w:pPr>
              <w:keepNext/>
              <w:numPr>
                <w:ilvl w:val="0"/>
                <w:numId w:val="3"/>
              </w:numPr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 xml:space="preserve">Обеспечение качественными услугами жилищно-коммунального хозяйства населения, дорожной деятельности </w:t>
            </w:r>
            <w:r w:rsidR="00616D31">
              <w:rPr>
                <w:rFonts w:eastAsia="Times New Roman"/>
                <w:sz w:val="24"/>
                <w:szCs w:val="24"/>
              </w:rPr>
              <w:br/>
            </w:r>
            <w:r w:rsidRPr="00E22203">
              <w:rPr>
                <w:rFonts w:eastAsia="Times New Roman"/>
                <w:sz w:val="24"/>
                <w:szCs w:val="24"/>
              </w:rPr>
              <w:t>и транспорта Златоустовского городского округа</w:t>
            </w:r>
            <w:r w:rsidR="00F35527">
              <w:rPr>
                <w:rFonts w:eastAsia="Times New Roman"/>
                <w:sz w:val="24"/>
                <w:szCs w:val="24"/>
              </w:rPr>
              <w:t>.</w:t>
            </w:r>
          </w:p>
          <w:p w:rsidR="000F6C72" w:rsidRPr="00E22203" w:rsidRDefault="000F6C72" w:rsidP="00616D31">
            <w:pPr>
              <w:keepNext/>
              <w:numPr>
                <w:ilvl w:val="0"/>
                <w:numId w:val="4"/>
              </w:numPr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Формирование современной городской среды на территории Златоустовского городского округа</w:t>
            </w:r>
          </w:p>
        </w:tc>
        <w:tc>
          <w:tcPr>
            <w:tcW w:w="1307" w:type="dxa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1 648,8</w:t>
            </w:r>
          </w:p>
        </w:tc>
        <w:tc>
          <w:tcPr>
            <w:tcW w:w="0" w:type="auto"/>
            <w:vAlign w:val="center"/>
          </w:tcPr>
          <w:p w:rsidR="000F6C72" w:rsidRPr="00E22203" w:rsidRDefault="000F6C72" w:rsidP="00616D31">
            <w:pPr>
              <w:keepNext/>
              <w:jc w:val="center"/>
              <w:rPr>
                <w:rFonts w:eastAsia="Times New Roman"/>
                <w:sz w:val="24"/>
                <w:szCs w:val="24"/>
              </w:rPr>
            </w:pPr>
            <w:r w:rsidRPr="00E22203">
              <w:rPr>
                <w:rFonts w:eastAsia="Times New Roman"/>
                <w:sz w:val="24"/>
                <w:szCs w:val="24"/>
              </w:rPr>
              <w:t>1 886,1</w:t>
            </w:r>
          </w:p>
        </w:tc>
      </w:tr>
    </w:tbl>
    <w:p w:rsidR="000F6C72" w:rsidRPr="000F6C72" w:rsidRDefault="000F6C72" w:rsidP="000F6C7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F3290" w:rsidRDefault="000F6C72" w:rsidP="00F35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6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Финансирование и реализация основных мероприятий осуществляется </w:t>
      </w:r>
      <w:r w:rsidR="00F35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F6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0F6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рамках</w:t>
      </w:r>
      <w:proofErr w:type="gramEnd"/>
      <w:r w:rsidRPr="000F6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реализуемых на территории округа  муниципальных программ.</w:t>
      </w:r>
    </w:p>
    <w:p w:rsidR="00F35527" w:rsidRDefault="00F35527" w:rsidP="00F35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527" w:rsidRDefault="00F35527" w:rsidP="00F35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527" w:rsidRDefault="00F35527" w:rsidP="00F35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527" w:rsidRDefault="00F35527" w:rsidP="00F35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527" w:rsidRDefault="00F35527" w:rsidP="00F35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527" w:rsidRDefault="00F35527" w:rsidP="00F35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527" w:rsidRDefault="00F35527" w:rsidP="00F35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527" w:rsidRDefault="00F35527" w:rsidP="00F35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527" w:rsidRDefault="00F35527" w:rsidP="00F35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527" w:rsidRDefault="00F35527" w:rsidP="00F35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527" w:rsidRDefault="00F35527" w:rsidP="00F35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527" w:rsidRDefault="00F35527" w:rsidP="00F35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527" w:rsidRDefault="00F35527" w:rsidP="00F35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527" w:rsidRDefault="00F35527" w:rsidP="00F35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6422" w:rsidRDefault="00206422" w:rsidP="00206422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kern w:val="1"/>
          <w:sz w:val="28"/>
          <w:szCs w:val="28"/>
          <w:lang w:eastAsia="ar-SA"/>
        </w:rPr>
      </w:pPr>
      <w:bookmarkStart w:id="12" w:name="_Toc211243202"/>
      <w:r w:rsidRPr="00206422">
        <w:rPr>
          <w:rFonts w:ascii="Times New Roman" w:eastAsia="Times New Roman" w:hAnsi="Times New Roman" w:cs="Times New Roman"/>
          <w:caps/>
          <w:kern w:val="1"/>
          <w:sz w:val="28"/>
          <w:szCs w:val="28"/>
          <w:lang w:eastAsia="ar-SA"/>
        </w:rPr>
        <w:t>ОСновные параметры муниципальных программ Златоустовского городского округа, за счет которых будет обеспечено достижение прогнозируемых значений основных показателей социально-экономического развития Златоустовского городского округа</w:t>
      </w:r>
      <w:bookmarkEnd w:id="12"/>
    </w:p>
    <w:p w:rsidR="00206422" w:rsidRPr="00206422" w:rsidRDefault="00206422" w:rsidP="00206422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kern w:val="1"/>
          <w:sz w:val="28"/>
          <w:szCs w:val="28"/>
          <w:lang w:eastAsia="ar-SA"/>
        </w:rPr>
      </w:pPr>
    </w:p>
    <w:p w:rsidR="00206422" w:rsidRPr="00206422" w:rsidRDefault="00206422" w:rsidP="00206422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4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8 *</w:t>
      </w:r>
    </w:p>
    <w:p w:rsidR="00206422" w:rsidRPr="00206422" w:rsidRDefault="00206422" w:rsidP="00206422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2083"/>
        <w:gridCol w:w="1981"/>
        <w:gridCol w:w="1716"/>
        <w:gridCol w:w="3393"/>
      </w:tblGrid>
      <w:tr w:rsidR="00206422" w:rsidRPr="00206422" w:rsidTr="00082B39">
        <w:trPr>
          <w:tblHeader/>
        </w:trPr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ование муниципальной программы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Златоустовского городского округа</w:t>
            </w:r>
          </w:p>
        </w:tc>
        <w:tc>
          <w:tcPr>
            <w:tcW w:w="3119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исполнитель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</w:t>
            </w:r>
          </w:p>
        </w:tc>
        <w:tc>
          <w:tcPr>
            <w:tcW w:w="5385" w:type="dxa"/>
            <w:vAlign w:val="center"/>
          </w:tcPr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направления реализации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программы</w:t>
            </w:r>
          </w:p>
        </w:tc>
      </w:tr>
      <w:tr w:rsidR="00206422" w:rsidRPr="00206422" w:rsidTr="00082B39">
        <w:trPr>
          <w:tblHeader/>
        </w:trPr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5" w:type="dxa"/>
            <w:vAlign w:val="center"/>
          </w:tcPr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06422" w:rsidRPr="00206422" w:rsidTr="00082B39"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муниципального управления</w:t>
            </w:r>
          </w:p>
        </w:tc>
        <w:tc>
          <w:tcPr>
            <w:tcW w:w="3119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ЗГО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5" w:type="dxa"/>
            <w:vAlign w:val="center"/>
          </w:tcPr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организационных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информационных условий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развития муни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ципальной службы на территории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Златоустовского городского округа.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Златоустовского городского округа.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благоприятных условий для развития субъектов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монопрофильном</w:t>
            </w:r>
            <w:proofErr w:type="spellEnd"/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образовании Российской Федерации – Златоустовский городской округ.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внедрения современных цифровых технологий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экономику Златоустовского городского округа для повышения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ее эффективности.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Повышения качества предоставления услуг на территории Златоустовского городского округа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туризма.</w:t>
            </w:r>
          </w:p>
          <w:p w:rsidR="00206422" w:rsidRPr="00206422" w:rsidRDefault="00206422" w:rsidP="00082B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расширения рынка сельскохозяйственной, садоводческой продукции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Златоустовского городского округа.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садоводческих некоммерческих товарище</w:t>
            </w:r>
            <w:proofErr w:type="gramStart"/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Зл</w:t>
            </w:r>
            <w:proofErr w:type="gramEnd"/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атоустовского городского округа</w:t>
            </w:r>
          </w:p>
        </w:tc>
      </w:tr>
      <w:tr w:rsidR="00206422" w:rsidRPr="00206422" w:rsidTr="00082B39"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  <w:t xml:space="preserve">Развитие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3119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Управление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молодежной политики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Златоустовского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городского округа (далее – МКУ Управление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молодежной политики ЗГО)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МКУ Управление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физической культуре и спорту Златоустовского городского округа.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Администрация ЗГО</w:t>
            </w:r>
          </w:p>
        </w:tc>
        <w:tc>
          <w:tcPr>
            <w:tcW w:w="5385" w:type="dxa"/>
            <w:vAlign w:val="center"/>
          </w:tcPr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предоставления общедоступного начального общего, основного общего, среднего общего образования по основным образовательным программам.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предоставления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общедоступного дошкольного образования детей.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отдыха детей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каникулярное время.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социальной поддержки граждан, имеющих детей.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мер, направленных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здоровье сбережение детей, получающих дошкольное, общее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дополнительное образование.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составляющей регионального проекта «Патриотическое воспитание граждан Российской Федерации» национального проекта Российской Федерации «Образование»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условий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гражданского становления молодежи, социальной адаптации, организации свободного времени молодежи.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содейств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ия в решении вопросов трудовой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занятости молодежи.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Организация и осуществление мероприятий по работе с детьми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 молодежью в Златоустовском городском округе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ация мероприятий муниципальной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составляющей регионального проекта «Современная школа» национального проекта Российской Федерации «Образование».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муниципальн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ой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составляющей регионального проекта «Цифровая образовательная среда» национального проекта Российской Федерации «Образование».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ация мероприятий муниципальной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составляющей регионального проекта «Социальная активность» национального проекта Российской Федерации «Образование».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ация мероприятий муниципальной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составляющей регионального проекта «Успех каждого ребенка» национального проекта Рос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сийской Федерации «Образование»</w:t>
            </w:r>
          </w:p>
        </w:tc>
      </w:tr>
      <w:tr w:rsidR="00206422" w:rsidRPr="00206422" w:rsidTr="00082B39"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культуры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Златоустовском городском округе</w:t>
            </w:r>
          </w:p>
        </w:tc>
        <w:tc>
          <w:tcPr>
            <w:tcW w:w="3119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Управление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культуры Златоустовского городского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округа (далее – МКУ Управление культуры ЗГО)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ЗГО</w:t>
            </w:r>
          </w:p>
        </w:tc>
        <w:tc>
          <w:tcPr>
            <w:tcW w:w="5385" w:type="dxa"/>
            <w:vAlign w:val="center"/>
          </w:tcPr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библиотечного</w:t>
            </w:r>
            <w:proofErr w:type="gramEnd"/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справочно-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библиографического </w:t>
            </w:r>
            <w:r w:rsidR="0061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информационного обслуживания пользователей.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условий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предоставления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ультурно-досуговых услуг, услуг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обучению местного традиционного народного художественного творчества и народных художественных промыслов.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условий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предоставления доступа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музейным коллекциям (фондам), осуществление просветительской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образовательной деятельности.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содействия в решении вопросов трудовой занятости молодежи.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архивного 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Златоустовского городского округа.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организации досуга и обеспечения жителей Златоустовского городского округа услугами организаций культуры.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ация мероприятий муниципальной 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составляющей регионального проекта «Культурная среда» национального проекта Российской Федерации «Культура».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ия мероприятий муниципальной 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составляющей регионального проекта «Творческие люди» национального проекта Российской Федерации «Культура».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ация мероприятий муниципальной 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составляющей регионального проекта «Цифровая культура» национального проекта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 «Культура»</w:t>
            </w:r>
          </w:p>
        </w:tc>
      </w:tr>
      <w:tr w:rsidR="00206422" w:rsidRPr="00206422" w:rsidTr="00082B39"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физической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культуры и спорта </w:t>
            </w:r>
            <w:r w:rsidR="0061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Златоустовском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городском округе</w:t>
            </w:r>
          </w:p>
        </w:tc>
        <w:tc>
          <w:tcPr>
            <w:tcW w:w="3119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Управление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физической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культуре и спорту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Златоустовского городского округа (далее – МКУ Управление </w:t>
            </w:r>
            <w:r w:rsidR="0061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физической культуре и спорту ЗГО)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ЗГО</w:t>
            </w:r>
          </w:p>
        </w:tc>
        <w:tc>
          <w:tcPr>
            <w:tcW w:w="5385" w:type="dxa"/>
            <w:vAlign w:val="center"/>
          </w:tcPr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1. </w:t>
            </w:r>
            <w:r w:rsidR="00206422" w:rsidRPr="0020642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Повышение качества и доступности дополнительного образования, устойчивое развитие системы дополнительного образования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 интересах формирования духовно-богатой, физически здоровой, социально активной творческой личности ребенка.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обеспечения условий для развития на территории Златоустовского городского округа физической культуры, массового спорта.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проведения официальных физкультурно-оздоровительных и спортивных мероприятий в Златоустовском городском округе.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</w:t>
            </w:r>
            <w:r w:rsidR="00206422" w:rsidRPr="002064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в организации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206422" w:rsidRPr="00206422">
              <w:rPr>
                <w:rFonts w:ascii="Times New Roman" w:eastAsia="Calibri" w:hAnsi="Times New Roman" w:cs="Times New Roman"/>
                <w:sz w:val="20"/>
                <w:szCs w:val="20"/>
              </w:rPr>
              <w:t>и проведении межмуниципальных, региональных, межрегио</w:t>
            </w:r>
            <w:r w:rsidR="00206422" w:rsidRPr="00206422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нальных, всероссийских и международных спортивных соревнований и учебно-тренировочных мероприятий спортивных сборных команд Российской Федерации и спортивных сборных команд Челябинской области, проводимых на территории Златоустовского городского округа.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5. </w:t>
            </w:r>
            <w:r w:rsidR="00206422" w:rsidRPr="00206422">
              <w:rPr>
                <w:rFonts w:ascii="Times New Roman" w:eastAsia="Calibri" w:hAnsi="Times New Roman" w:cs="Times New Roman"/>
                <w:sz w:val="20"/>
                <w:szCs w:val="20"/>
              </w:rPr>
              <w:t>Пропаганда здорового образа жизни среди населения.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ипальной 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составляющей регионального проекта «Создание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и подготовка спортивного резерва» национального проекта Российской Федерации «Демография».</w:t>
            </w:r>
          </w:p>
        </w:tc>
      </w:tr>
      <w:tr w:rsidR="00206422" w:rsidRPr="00206422" w:rsidTr="00082B39"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30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iCs/>
                <w:spacing w:val="30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защита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населения Златоустовского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городского округа</w:t>
            </w:r>
          </w:p>
        </w:tc>
        <w:tc>
          <w:tcPr>
            <w:tcW w:w="3119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социальной защиты населения Златоустовского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городского округа (УСЗН ЗГО)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Администрация ЗГО.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МКУ Управление образования </w:t>
            </w:r>
            <w:r w:rsidR="00613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молодежной политики ЗГО.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МКУ Управление культуры ЗГО.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Социально ориентированные некоммерческие организации (далее - СОНКО).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Комитет </w:t>
            </w:r>
            <w:r w:rsidR="00C5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управлению имуществом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Златоустовского</w:t>
            </w:r>
          </w:p>
          <w:p w:rsidR="00206422" w:rsidRPr="00206422" w:rsidRDefault="00206422" w:rsidP="0061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(далее – Комитет по управлению имуществом ЗГО)</w:t>
            </w:r>
          </w:p>
        </w:tc>
        <w:tc>
          <w:tcPr>
            <w:tcW w:w="5385" w:type="dxa"/>
            <w:vAlign w:val="center"/>
          </w:tcPr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развития социальной защиты населения Златоустовского городского округа.</w:t>
            </w:r>
          </w:p>
          <w:p w:rsidR="00206422" w:rsidRPr="00206422" w:rsidRDefault="00613B00" w:rsidP="00082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условий предоставляющих услуг населению Златоустовского городского округа.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проведения муниципальных мероприятий в области социальной политики.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доступной среды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инвалидов и маломобильных групп населения в учреждениях социальной защиты населения Златоустовского городского округа.</w:t>
            </w:r>
          </w:p>
          <w:p w:rsidR="00206422" w:rsidRPr="00206422" w:rsidRDefault="00613B00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выплаты единовременного пособия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рождении детей в рамках регионального проекта «Финансовая поддержка семей при рождении детей» национального проекта Российской Федерации «Демография».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развития социально ориентированных некоммерческих организаций ветеранов и инвалидов, осуществляющих деятельность, направленную на социальную поддержку граждан.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ация мероприятий муниципальной 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составляющей регионального проекта «Информационная безопасность» национального проекта Российской Федерации «Цифровая экономика».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ация мероприятий муниципальной 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составляющей регионального проекта «Разработка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реализация программы системной поддержки и повышения качества жизни граждан старшего поколения» национального проекта Российской Федерации «Демография».</w:t>
            </w:r>
          </w:p>
          <w:p w:rsidR="00206422" w:rsidRPr="00206422" w:rsidRDefault="00613B00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приятий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муниципальной 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составляющей регионального проекта «Цифровое государственное управление» национального проекта Российской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Федерации «Цифровая экономика»</w:t>
            </w:r>
          </w:p>
        </w:tc>
      </w:tr>
      <w:tr w:rsidR="00206422" w:rsidRPr="00206422" w:rsidTr="00082B39"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30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iCs/>
                <w:spacing w:val="3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качественным жильем населения Златоустовского городского округа</w:t>
            </w:r>
          </w:p>
        </w:tc>
        <w:tc>
          <w:tcPr>
            <w:tcW w:w="3119" w:type="dxa"/>
            <w:vAlign w:val="center"/>
          </w:tcPr>
          <w:p w:rsidR="00206422" w:rsidRPr="00206422" w:rsidRDefault="00206422" w:rsidP="00572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ЗГО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Комитет </w:t>
            </w:r>
            <w:r w:rsidR="00572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управлению имуществом ЗГО.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  <w:t>2. МКУ ЗГО «Управление жилищно-коммунального хозяйства»</w:t>
            </w:r>
          </w:p>
        </w:tc>
        <w:tc>
          <w:tcPr>
            <w:tcW w:w="5385" w:type="dxa"/>
            <w:vAlign w:val="center"/>
          </w:tcPr>
          <w:p w:rsidR="00206422" w:rsidRPr="00206422" w:rsidRDefault="00572CD5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местной системы </w:t>
            </w:r>
            <w:proofErr w:type="spellStart"/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градорегулирования</w:t>
            </w:r>
            <w:proofErr w:type="spellEnd"/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целях устойчивого развития территории Златоустовского городского округа, увеличения объемов жилищного строительства и привлечения инвестиций в строительную отрасль.</w:t>
            </w:r>
          </w:p>
          <w:p w:rsidR="00206422" w:rsidRPr="00206422" w:rsidRDefault="00572CD5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обеспечения малоимущих граждан, молодых семей, проживающих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Златоустовском городском округе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признанных нуждающимися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улучшении жилищных условий, жилыми помещениями в соответствии с жилищным законодательством.</w:t>
            </w:r>
          </w:p>
          <w:p w:rsidR="00206422" w:rsidRPr="00206422" w:rsidRDefault="00572CD5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приведения жилищного фонда Златоустовского городского округа в соответствии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стандартами качества, обеспечивающими комфортные условия проживания граждан.</w:t>
            </w:r>
          </w:p>
          <w:p w:rsidR="00206422" w:rsidRPr="00206422" w:rsidRDefault="00572CD5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</w:t>
            </w:r>
            <w:proofErr w:type="gramStart"/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объемов аварийного жилищного фонда Златоустовского городского округа, признанного непригодным для проживания,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жилищного фонда с высоким (более 70 процентов) уровнем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зноса</w:t>
            </w:r>
            <w:proofErr w:type="gramEnd"/>
          </w:p>
        </w:tc>
      </w:tr>
      <w:tr w:rsidR="00206422" w:rsidRPr="00206422" w:rsidTr="00082B39"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pacing w:val="30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iCs/>
                <w:spacing w:val="3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качественными услугами жилищно-коммунального хозяйства населения, дорожной деятельности </w:t>
            </w:r>
            <w:r w:rsidR="00572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транспорта Златоустовского городского округа</w:t>
            </w:r>
          </w:p>
        </w:tc>
        <w:tc>
          <w:tcPr>
            <w:tcW w:w="3119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  <w:t>Муниципальное казенное учреждение  Златоустовского городского округа «Управление жилищно-коммунального хозяйства» (далее – МКУ ЗГО «Управление жилищно-коммунального хозяйства»)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ЗГО</w:t>
            </w:r>
          </w:p>
        </w:tc>
        <w:tc>
          <w:tcPr>
            <w:tcW w:w="5385" w:type="dxa"/>
            <w:vAlign w:val="center"/>
          </w:tcPr>
          <w:p w:rsidR="00206422" w:rsidRPr="00206422" w:rsidRDefault="00572CD5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 границах Златоустовского городского округа электро-, тепл</w:t>
            </w:r>
            <w:proofErr w:type="gramStart"/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газо- и водо-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снабжения населения, водоотведения, снабжения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населения топливом, в том числе формирование муниципального заказа на коммунальные и транспортные услуги.</w:t>
            </w:r>
          </w:p>
          <w:p w:rsidR="00206422" w:rsidRPr="00206422" w:rsidRDefault="00206422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Организация дорожной деятельности в отношении автомобильных дорог местного значения в границах Златоустовского городского округа, ремонт </w:t>
            </w:r>
            <w:r w:rsidR="00572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содержание средств регулирования дорожного движения на них.</w:t>
            </w:r>
          </w:p>
          <w:p w:rsidR="00206422" w:rsidRPr="00206422" w:rsidRDefault="00572CD5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благоустройства.</w:t>
            </w:r>
          </w:p>
          <w:p w:rsidR="00206422" w:rsidRPr="00206422" w:rsidRDefault="00572CD5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озеленения, посадки саженцев, устройство и содержание клумб.</w:t>
            </w:r>
          </w:p>
          <w:p w:rsidR="00206422" w:rsidRPr="00206422" w:rsidRDefault="00572CD5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мероприятий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осуществлении деятельности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обращению с животными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владельцев.</w:t>
            </w:r>
          </w:p>
          <w:p w:rsidR="00206422" w:rsidRPr="00206422" w:rsidRDefault="00572CD5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предоставления транспортных 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 населению и организация транспортного обслуживания населения в границах Златоустовского городского округа.</w:t>
            </w:r>
          </w:p>
          <w:p w:rsidR="00206422" w:rsidRPr="00206422" w:rsidRDefault="00572CD5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мероприятий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поддержки коммунального хозяйства в части содержания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ремонта и (или) капитального ремонта объектов коммунальной инфраструктуры.</w:t>
            </w:r>
          </w:p>
          <w:p w:rsidR="00206422" w:rsidRPr="00206422" w:rsidRDefault="005C5E5A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мероприятий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поддержки жилищного хозяйства (ремонт муниципального жилог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фонда)</w:t>
            </w:r>
          </w:p>
        </w:tc>
      </w:tr>
      <w:tr w:rsidR="00206422" w:rsidRPr="00206422" w:rsidTr="00082B39">
        <w:trPr>
          <w:trHeight w:val="430"/>
        </w:trPr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Защита населения Златоустовского городского округа </w:t>
            </w:r>
            <w:r w:rsidR="005C5E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чрезвычайных ситуаций, обеспечение пожарной безопасности </w:t>
            </w:r>
            <w:r w:rsidR="005C5E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 безопасности людей</w:t>
            </w:r>
          </w:p>
        </w:tc>
        <w:tc>
          <w:tcPr>
            <w:tcW w:w="3119" w:type="dxa"/>
            <w:vAlign w:val="center"/>
          </w:tcPr>
          <w:p w:rsidR="00206422" w:rsidRPr="00206422" w:rsidRDefault="00206422" w:rsidP="0020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Златоустовского городского округа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УСЗН ЗГО.</w:t>
            </w:r>
          </w:p>
          <w:p w:rsidR="00206422" w:rsidRPr="00206422" w:rsidRDefault="005C5E5A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МКУ Управление культуры ЗГО</w:t>
            </w:r>
          </w:p>
        </w:tc>
        <w:tc>
          <w:tcPr>
            <w:tcW w:w="5385" w:type="dxa"/>
            <w:vAlign w:val="center"/>
          </w:tcPr>
          <w:p w:rsidR="00206422" w:rsidRPr="00206422" w:rsidRDefault="00206422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 Организация участия </w:t>
            </w:r>
            <w:r w:rsidR="005C5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предупреждении и ликвидации последствий чрезвычайных ситуаций в границах Златоустовского городского округа.</w:t>
            </w:r>
          </w:p>
          <w:p w:rsidR="00206422" w:rsidRPr="00206422" w:rsidRDefault="00206422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 Осуществление мероприятий </w:t>
            </w:r>
            <w:r w:rsidR="005C5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гражданской обороне.</w:t>
            </w:r>
          </w:p>
          <w:p w:rsidR="00206422" w:rsidRPr="00206422" w:rsidRDefault="00206422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Организация предоставления первичных мер пожарной безопасности на территории Златоустовского городского округа.</w:t>
            </w:r>
          </w:p>
          <w:p w:rsidR="00206422" w:rsidRPr="00206422" w:rsidRDefault="00206422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 Осуществление мероприятий </w:t>
            </w:r>
            <w:r w:rsidR="005C5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обеспечению безопасности людей на водных объектах, охране их жизни и здоровья.</w:t>
            </w:r>
          </w:p>
          <w:p w:rsidR="00206422" w:rsidRPr="00206422" w:rsidRDefault="00206422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 Улучшение условий охраны труда </w:t>
            </w:r>
            <w:r w:rsidR="005C5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5C5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Златоустовском городском округе</w:t>
            </w:r>
          </w:p>
        </w:tc>
      </w:tr>
      <w:tr w:rsidR="00206422" w:rsidRPr="00206422" w:rsidTr="00082B39">
        <w:trPr>
          <w:trHeight w:val="1315"/>
        </w:trPr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окружающей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среды </w:t>
            </w:r>
            <w:r w:rsidR="005C5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Златоустовском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городском округе</w:t>
            </w:r>
          </w:p>
        </w:tc>
        <w:tc>
          <w:tcPr>
            <w:tcW w:w="3119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ЗГО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  <w:t>1. МКУ ЗГО «Управление жилищно-коммунального хозяйства».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МКУ Управление образования </w:t>
            </w:r>
            <w:r w:rsidR="005C5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молодежной политики ЗГО.</w:t>
            </w:r>
          </w:p>
          <w:p w:rsidR="00206422" w:rsidRPr="00206422" w:rsidRDefault="005C5E5A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МКУ Управление культуры ЗГО</w:t>
            </w:r>
          </w:p>
        </w:tc>
        <w:tc>
          <w:tcPr>
            <w:tcW w:w="5385" w:type="dxa"/>
            <w:vAlign w:val="center"/>
          </w:tcPr>
          <w:p w:rsidR="00206422" w:rsidRPr="00206422" w:rsidRDefault="005C5E5A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мероприятий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охране окружающей среды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границах Златоустовского городского округа.</w:t>
            </w:r>
          </w:p>
          <w:p w:rsidR="00206422" w:rsidRPr="00206422" w:rsidRDefault="005C5E5A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природоохранных мероприятий за счет экологических платежей.</w:t>
            </w:r>
          </w:p>
          <w:p w:rsidR="00206422" w:rsidRPr="00206422" w:rsidRDefault="005C5E5A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сбора, вывоза, утилизации и переработки бытовых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промышленных отходов.</w:t>
            </w:r>
          </w:p>
          <w:p w:rsidR="00206422" w:rsidRPr="00206422" w:rsidRDefault="005C5E5A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ация мероприятий муниципальной 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составляющей регионального проекта «Чистая страна» национального проекта Российской Федерации «Экология».</w:t>
            </w:r>
          </w:p>
          <w:p w:rsidR="00206422" w:rsidRPr="00206422" w:rsidRDefault="005C5E5A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ация мероприятий муниципальной 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составляющей регионального проекта «Комплексная система обращения с твердыми коммунальными отходами» национального проекта Российской Федерации «Экология».</w:t>
            </w:r>
          </w:p>
          <w:p w:rsidR="00206422" w:rsidRPr="00206422" w:rsidRDefault="005C5E5A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ация мероприятий муниципальной 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составляющей регионального проекта «Чистая вода» национального проекта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 «Экология»</w:t>
            </w:r>
          </w:p>
        </w:tc>
      </w:tr>
      <w:tr w:rsidR="00206422" w:rsidRPr="00206422" w:rsidTr="00082B39"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3282" w:type="dxa"/>
            <w:vAlign w:val="center"/>
          </w:tcPr>
          <w:p w:rsidR="00206422" w:rsidRPr="00206422" w:rsidRDefault="00024DD9" w:rsidP="00206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правонарушений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противодействие терроризму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Златоустовском городском округе</w:t>
            </w:r>
          </w:p>
        </w:tc>
        <w:tc>
          <w:tcPr>
            <w:tcW w:w="3119" w:type="dxa"/>
            <w:vAlign w:val="center"/>
          </w:tcPr>
          <w:p w:rsidR="00206422" w:rsidRPr="00206422" w:rsidRDefault="00206422" w:rsidP="0020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Златоустовского городского округа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МКУ Управление образования </w:t>
            </w:r>
            <w:r w:rsidR="00024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молодежной политики ЗГО.</w:t>
            </w:r>
          </w:p>
          <w:p w:rsidR="00206422" w:rsidRPr="00206422" w:rsidRDefault="00206422" w:rsidP="0020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МКУ Управление культуры ЗГО.</w:t>
            </w:r>
          </w:p>
          <w:p w:rsidR="00206422" w:rsidRPr="00206422" w:rsidRDefault="00206422" w:rsidP="0020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МКУ Управление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физической культуре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спорту ЗГО.</w:t>
            </w:r>
          </w:p>
          <w:p w:rsidR="00206422" w:rsidRPr="00206422" w:rsidRDefault="00206422" w:rsidP="0020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УСЗН ЗГО.</w:t>
            </w:r>
          </w:p>
          <w:p w:rsidR="00206422" w:rsidRPr="00206422" w:rsidRDefault="00024DD9" w:rsidP="0020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МКУ ЗГО «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зяйства»</w:t>
            </w:r>
          </w:p>
        </w:tc>
        <w:tc>
          <w:tcPr>
            <w:tcW w:w="5385" w:type="dxa"/>
            <w:vAlign w:val="center"/>
          </w:tcPr>
          <w:p w:rsidR="00206422" w:rsidRPr="00206422" w:rsidRDefault="00206422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Формирование действенной системы профилактики программы правонарушений способствующей созданию условий для повышения уровня безопасности граждан.</w:t>
            </w:r>
          </w:p>
          <w:p w:rsidR="00206422" w:rsidRPr="00206422" w:rsidRDefault="00206422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 Создание условий </w:t>
            </w:r>
            <w:r w:rsidR="00024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приостановления роста злоупотребления наркотиками </w:t>
            </w:r>
            <w:r w:rsidR="00024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их незаконного оборота, сокращения распространения наркомании и связанных с ней правонарушений до уровня минимальной опасности </w:t>
            </w:r>
            <w:r w:rsidR="00024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общества.</w:t>
            </w:r>
          </w:p>
          <w:p w:rsidR="00206422" w:rsidRPr="00206422" w:rsidRDefault="00206422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 Создание условий </w:t>
            </w:r>
            <w:r w:rsidR="00024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эффективного развития системы профилактики безнадзорности несовершеннолетних.</w:t>
            </w:r>
          </w:p>
          <w:p w:rsidR="00206422" w:rsidRPr="00206422" w:rsidRDefault="00206422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Организация и техническое обеспечение профилактики терроризма.</w:t>
            </w:r>
          </w:p>
          <w:p w:rsidR="00206422" w:rsidRPr="00206422" w:rsidRDefault="00206422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Информационно-методическое обес</w:t>
            </w:r>
            <w:r w:rsidR="00024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печение профилактики терроризма</w:t>
            </w:r>
          </w:p>
        </w:tc>
      </w:tr>
      <w:tr w:rsidR="00206422" w:rsidRPr="00206422" w:rsidTr="00082B39"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современной городской среды </w:t>
            </w:r>
            <w:r w:rsidR="00024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Златоустовского городского округа</w:t>
            </w:r>
          </w:p>
        </w:tc>
        <w:tc>
          <w:tcPr>
            <w:tcW w:w="3119" w:type="dxa"/>
            <w:vAlign w:val="center"/>
          </w:tcPr>
          <w:p w:rsidR="00206422" w:rsidRPr="00206422" w:rsidRDefault="00024DD9" w:rsidP="00206422">
            <w:pPr>
              <w:suppressAutoHyphens/>
              <w:autoSpaceDN w:val="0"/>
              <w:spacing w:after="0" w:line="240" w:lineRule="auto"/>
              <w:ind w:left="-39"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ЗГО «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жилищно-коммунального хозяйства»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Управление культуры ЗГО.</w:t>
            </w:r>
          </w:p>
        </w:tc>
        <w:tc>
          <w:tcPr>
            <w:tcW w:w="5385" w:type="dxa"/>
            <w:vAlign w:val="center"/>
          </w:tcPr>
          <w:p w:rsidR="00206422" w:rsidRPr="00206422" w:rsidRDefault="00024DD9" w:rsidP="00082B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комфорта городской среды на 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округа.</w:t>
            </w:r>
          </w:p>
          <w:p w:rsidR="00206422" w:rsidRPr="00206422" w:rsidRDefault="00024DD9" w:rsidP="00082B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создания, содержания и развитие объектов благоустройства на территории Златоустовского городского округа.</w:t>
            </w:r>
          </w:p>
          <w:p w:rsidR="00206422" w:rsidRPr="00206422" w:rsidRDefault="00024DD9" w:rsidP="00082B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ация мероприятий муниципальной 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составляющей регионального проекта «Формирование комфортной городской среды» национального проекта Российской Феде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рации «Жилье и городская среда»</w:t>
            </w:r>
          </w:p>
        </w:tc>
      </w:tr>
      <w:tr w:rsidR="00206422" w:rsidRPr="00206422" w:rsidTr="00082B39"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муниципальными финансами </w:t>
            </w:r>
            <w:r w:rsidR="00024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обеспечение сбалансированности бюджета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Златоустовского городского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3119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управление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Златоустовского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(далее – Финансовое управление ЗГО)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5" w:type="dxa"/>
            <w:vAlign w:val="center"/>
          </w:tcPr>
          <w:p w:rsidR="00206422" w:rsidRPr="00206422" w:rsidRDefault="00024DD9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эффективного управления муниципальными финансами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обеспечение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сбалансированности бюджета.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Оптимизация системы управления муниципальн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ым долгом</w:t>
            </w:r>
          </w:p>
        </w:tc>
      </w:tr>
      <w:tr w:rsidR="00206422" w:rsidRPr="00206422" w:rsidTr="00082B39"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</w:t>
            </w:r>
          </w:p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 имуществом</w:t>
            </w:r>
          </w:p>
        </w:tc>
        <w:tc>
          <w:tcPr>
            <w:tcW w:w="3119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 w:rsidR="00FC1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управлению имуществом ЗГО»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206422"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  <w:t>МКУ ЗГО «Управление жилищно-коммунального хозяйства»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06422" w:rsidRPr="00206422" w:rsidRDefault="00024DD9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Администрация ЗГО</w:t>
            </w:r>
          </w:p>
        </w:tc>
        <w:tc>
          <w:tcPr>
            <w:tcW w:w="5385" w:type="dxa"/>
            <w:vAlign w:val="center"/>
          </w:tcPr>
          <w:p w:rsidR="00206422" w:rsidRPr="00206422" w:rsidRDefault="00024DD9" w:rsidP="00082B39">
            <w:pPr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экономически эффективного управления муниципальным имуществом, оказания имущественной поддержки субъектам малого и среднего предпринимательства.</w:t>
            </w:r>
          </w:p>
          <w:p w:rsidR="00206422" w:rsidRPr="00206422" w:rsidRDefault="00024DD9" w:rsidP="0008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повышения эффективности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споряжения земельными участками</w:t>
            </w:r>
          </w:p>
        </w:tc>
      </w:tr>
      <w:tr w:rsidR="00206422" w:rsidRPr="00206422" w:rsidTr="00082B39"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Сохранение, использование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объектов культурного наследия, находящихся </w:t>
            </w:r>
            <w:r w:rsidR="002A3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муниципальной собственности </w:t>
            </w:r>
            <w:r w:rsidR="002A3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охрана объектов культурного наследия местного значения, расположенных </w:t>
            </w:r>
            <w:r w:rsidR="002A3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Златоустовского городского округа</w:t>
            </w:r>
          </w:p>
        </w:tc>
        <w:tc>
          <w:tcPr>
            <w:tcW w:w="3119" w:type="dxa"/>
            <w:vAlign w:val="center"/>
          </w:tcPr>
          <w:p w:rsidR="00206422" w:rsidRPr="00206422" w:rsidRDefault="002A380F" w:rsidP="002A380F">
            <w:pPr>
              <w:suppressAutoHyphens/>
              <w:autoSpaceDN w:val="0"/>
              <w:spacing w:after="0" w:line="240" w:lineRule="auto"/>
              <w:ind w:left="-39"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ЗГО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МКУ Управление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 ЗГО.</w:t>
            </w:r>
          </w:p>
          <w:p w:rsidR="00206422" w:rsidRPr="00206422" w:rsidRDefault="00206422" w:rsidP="002A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МКУ Управление образования </w:t>
            </w:r>
            <w:r w:rsidR="002A3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молодежной политики ЗГО</w:t>
            </w:r>
          </w:p>
        </w:tc>
        <w:tc>
          <w:tcPr>
            <w:tcW w:w="5385" w:type="dxa"/>
            <w:vAlign w:val="center"/>
          </w:tcPr>
          <w:p w:rsidR="00206422" w:rsidRPr="00206422" w:rsidRDefault="00206422" w:rsidP="00082B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Сохранение, рациональное использование и охрана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исторического</w:t>
            </w:r>
            <w:r w:rsidR="002A3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культурного наследия округа</w:t>
            </w:r>
          </w:p>
        </w:tc>
      </w:tr>
      <w:tr w:rsidR="00206422" w:rsidRPr="00206422" w:rsidTr="00082B39"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инициативных проектов </w:t>
            </w:r>
            <w:r w:rsidR="002A3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Златоустовском городском округе</w:t>
            </w:r>
          </w:p>
        </w:tc>
        <w:tc>
          <w:tcPr>
            <w:tcW w:w="3119" w:type="dxa"/>
            <w:vAlign w:val="center"/>
          </w:tcPr>
          <w:p w:rsidR="00206422" w:rsidRPr="00206422" w:rsidRDefault="002A380F" w:rsidP="002A380F">
            <w:pPr>
              <w:suppressAutoHyphens/>
              <w:autoSpaceDN w:val="0"/>
              <w:spacing w:after="0" w:line="240" w:lineRule="auto"/>
              <w:ind w:left="-39"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ЗГО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uppressAutoHyphens/>
              <w:autoSpaceDN w:val="0"/>
              <w:spacing w:after="0" w:line="240" w:lineRule="auto"/>
              <w:ind w:left="-39"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МКУ Управление образования </w:t>
            </w:r>
            <w:r w:rsidR="002A3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молодежной политики ЗГО.</w:t>
            </w:r>
          </w:p>
          <w:p w:rsidR="00206422" w:rsidRPr="00206422" w:rsidRDefault="00206422" w:rsidP="00206422">
            <w:pPr>
              <w:suppressAutoHyphens/>
              <w:autoSpaceDN w:val="0"/>
              <w:spacing w:after="0" w:line="240" w:lineRule="auto"/>
              <w:ind w:left="-39"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МКУ Управление культуры ЗГО.</w:t>
            </w:r>
          </w:p>
          <w:p w:rsidR="00206422" w:rsidRPr="00206422" w:rsidRDefault="00206422" w:rsidP="00206422">
            <w:pPr>
              <w:suppressAutoHyphens/>
              <w:autoSpaceDN w:val="0"/>
              <w:spacing w:after="0" w:line="240" w:lineRule="auto"/>
              <w:ind w:left="-39"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МКУ Управление </w:t>
            </w:r>
            <w:r w:rsidR="002A3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физической культуре и спорту ЗГО.</w:t>
            </w:r>
          </w:p>
          <w:p w:rsidR="00206422" w:rsidRPr="00206422" w:rsidRDefault="00206422" w:rsidP="00206422">
            <w:pPr>
              <w:suppressAutoHyphens/>
              <w:autoSpaceDN w:val="0"/>
              <w:spacing w:after="0" w:line="240" w:lineRule="auto"/>
              <w:ind w:left="-39"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r w:rsidRPr="00206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МКУ ЗГО «Управление ж</w:t>
            </w:r>
            <w:r w:rsidR="002A38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илищно-коммунального хозяйства»</w:t>
            </w:r>
          </w:p>
        </w:tc>
        <w:tc>
          <w:tcPr>
            <w:tcW w:w="5385" w:type="dxa"/>
            <w:vAlign w:val="center"/>
          </w:tcPr>
          <w:p w:rsidR="00206422" w:rsidRPr="00206422" w:rsidRDefault="00206422" w:rsidP="00082B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Вовлечение граждан в бюджетный процесс и участие граждан </w:t>
            </w:r>
            <w:r w:rsidR="002A3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принятии бюджетных решений </w:t>
            </w:r>
            <w:r w:rsidR="002A3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определение проектов </w:t>
            </w:r>
            <w:r w:rsidR="002A3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использованием механизма инициативного бюджетирования, </w:t>
            </w:r>
            <w:r w:rsidR="002A3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реализацию и контроль</w:t>
            </w:r>
          </w:p>
        </w:tc>
      </w:tr>
      <w:tr w:rsidR="00206422" w:rsidRPr="00206422" w:rsidTr="00082B39"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государственной национальной политики </w:t>
            </w:r>
            <w:r w:rsidR="00545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Златоустовском городском округе</w:t>
            </w:r>
          </w:p>
        </w:tc>
        <w:tc>
          <w:tcPr>
            <w:tcW w:w="3119" w:type="dxa"/>
            <w:vAlign w:val="center"/>
          </w:tcPr>
          <w:p w:rsidR="00206422" w:rsidRPr="00206422" w:rsidRDefault="0054561D" w:rsidP="0054561D">
            <w:pPr>
              <w:suppressAutoHyphens/>
              <w:autoSpaceDN w:val="0"/>
              <w:spacing w:after="0" w:line="240" w:lineRule="auto"/>
              <w:ind w:left="-39"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ЗГО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suppressAutoHyphens/>
              <w:autoSpaceDN w:val="0"/>
              <w:spacing w:after="0" w:line="240" w:lineRule="auto"/>
              <w:ind w:left="-39"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МКУ Управление культуры ЗГО.</w:t>
            </w:r>
          </w:p>
          <w:p w:rsidR="00206422" w:rsidRPr="00206422" w:rsidRDefault="00206422" w:rsidP="00206422">
            <w:pPr>
              <w:suppressAutoHyphens/>
              <w:autoSpaceDN w:val="0"/>
              <w:spacing w:after="0" w:line="240" w:lineRule="auto"/>
              <w:ind w:left="-39"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МКУ Управление образования </w:t>
            </w:r>
            <w:r w:rsidR="00545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молодежной политики ЗГО.</w:t>
            </w:r>
          </w:p>
          <w:p w:rsidR="00206422" w:rsidRPr="00206422" w:rsidRDefault="00206422" w:rsidP="00206422">
            <w:pPr>
              <w:suppressAutoHyphens/>
              <w:autoSpaceDN w:val="0"/>
              <w:spacing w:after="0" w:line="240" w:lineRule="auto"/>
              <w:ind w:left="-39"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МКУ Управление </w:t>
            </w:r>
            <w:r w:rsidR="00545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физической культуре и спорту ЗГО.</w:t>
            </w:r>
          </w:p>
          <w:p w:rsidR="00206422" w:rsidRPr="00206422" w:rsidRDefault="00206422" w:rsidP="00206422">
            <w:pPr>
              <w:suppressAutoHyphens/>
              <w:autoSpaceDN w:val="0"/>
              <w:spacing w:after="0" w:line="240" w:lineRule="auto"/>
              <w:ind w:left="-39"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УСЗН ЗГО</w:t>
            </w:r>
          </w:p>
        </w:tc>
        <w:tc>
          <w:tcPr>
            <w:tcW w:w="5385" w:type="dxa"/>
            <w:vAlign w:val="center"/>
          </w:tcPr>
          <w:p w:rsidR="00206422" w:rsidRPr="00206422" w:rsidRDefault="00206422" w:rsidP="00082B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Укрепление общероссийского гражданского самосознания </w:t>
            </w:r>
            <w:r w:rsidR="00545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духовной общности многонационального народа Российской Федерации на территории Златоустовского городского округа, сохранение этнокультурного многообразия народов Златоустовского городского округа, гармонизация межнациона</w:t>
            </w:r>
            <w:r w:rsidR="00545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льных (межэтнических) отношений</w:t>
            </w:r>
          </w:p>
        </w:tc>
      </w:tr>
      <w:tr w:rsidR="00206422" w:rsidRPr="00206422" w:rsidTr="00082B39">
        <w:tc>
          <w:tcPr>
            <w:tcW w:w="687" w:type="dxa"/>
            <w:vAlign w:val="center"/>
          </w:tcPr>
          <w:p w:rsidR="00206422" w:rsidRPr="00206422" w:rsidRDefault="00206422" w:rsidP="0020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82" w:type="dxa"/>
            <w:vAlign w:val="center"/>
          </w:tcPr>
          <w:p w:rsidR="00206422" w:rsidRPr="00206422" w:rsidRDefault="00206422" w:rsidP="002064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r w:rsidR="00545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противоде</w:t>
            </w:r>
            <w:r w:rsidR="00545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йствие проявлениям экстремизма </w:t>
            </w:r>
            <w:r w:rsidR="00545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Златоустовском городском округе</w:t>
            </w:r>
          </w:p>
        </w:tc>
        <w:tc>
          <w:tcPr>
            <w:tcW w:w="3119" w:type="dxa"/>
            <w:vAlign w:val="center"/>
          </w:tcPr>
          <w:p w:rsidR="00206422" w:rsidRPr="00206422" w:rsidRDefault="00206422" w:rsidP="0020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ЗГО</w:t>
            </w:r>
          </w:p>
        </w:tc>
        <w:tc>
          <w:tcPr>
            <w:tcW w:w="2694" w:type="dxa"/>
            <w:vAlign w:val="center"/>
          </w:tcPr>
          <w:p w:rsidR="00206422" w:rsidRPr="00206422" w:rsidRDefault="00206422" w:rsidP="0020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МКУ Управление образования </w:t>
            </w:r>
            <w:r w:rsidR="005456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молодежной политики ЗГО.</w:t>
            </w:r>
          </w:p>
          <w:p w:rsidR="00206422" w:rsidRPr="00206422" w:rsidRDefault="00206422" w:rsidP="0020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МКУ Управление культуры ЗГО.</w:t>
            </w:r>
          </w:p>
          <w:p w:rsidR="00206422" w:rsidRPr="00206422" w:rsidRDefault="00206422" w:rsidP="0020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МКУ Управление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 физической культуре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спорту ЗГО.</w:t>
            </w:r>
          </w:p>
          <w:p w:rsidR="00206422" w:rsidRPr="00206422" w:rsidRDefault="0054561D" w:rsidP="00206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УСЗН ЗГО</w:t>
            </w:r>
          </w:p>
        </w:tc>
        <w:tc>
          <w:tcPr>
            <w:tcW w:w="5385" w:type="dxa"/>
            <w:vAlign w:val="center"/>
          </w:tcPr>
          <w:p w:rsidR="00206422" w:rsidRPr="00206422" w:rsidRDefault="0054561D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Принятие профилактических мер, направленных на предупреждение экстремистской деятельности,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на выявление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последующее устранение причин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условий, способствующих осуществлению экстремистской деятельности.</w:t>
            </w:r>
          </w:p>
          <w:p w:rsidR="00206422" w:rsidRPr="00206422" w:rsidRDefault="0054561D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Выявление, предупреждение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пресечение экстремистской деятельности общественных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06422"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религиозных объединений, иных организаций, физических лиц.</w:t>
            </w:r>
          </w:p>
          <w:p w:rsidR="00206422" w:rsidRPr="00206422" w:rsidRDefault="00206422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 Организация и техническое </w:t>
            </w: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профилактики экстремизма.</w:t>
            </w:r>
          </w:p>
          <w:p w:rsidR="00206422" w:rsidRPr="00206422" w:rsidRDefault="00206422" w:rsidP="00082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4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Информационно-методическое обеспечение профилактики экстремизма</w:t>
            </w:r>
          </w:p>
        </w:tc>
      </w:tr>
    </w:tbl>
    <w:p w:rsidR="00206422" w:rsidRPr="00206422" w:rsidRDefault="00206422" w:rsidP="00206422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6422" w:rsidRPr="00206422" w:rsidRDefault="00206422" w:rsidP="00206422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42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 прогноза соц</w:t>
      </w:r>
      <w:r w:rsidR="005456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иально-экономического развития </w:t>
      </w:r>
      <w:r w:rsidRPr="00206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округа взаимоувязаны с основными направлениями, сформированными в Стратегии </w:t>
      </w:r>
      <w:r w:rsidR="0054561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64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Комплексной программе социально-экономического развития </w:t>
      </w:r>
      <w:r w:rsidR="0054561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6422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Златоустовском городском округе до 2030 года.</w:t>
      </w:r>
    </w:p>
    <w:p w:rsidR="00F35527" w:rsidRPr="00CA4BE4" w:rsidRDefault="00206422" w:rsidP="00545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422">
        <w:rPr>
          <w:rFonts w:ascii="Times New Roman" w:eastAsia="Times New Roman" w:hAnsi="Times New Roman" w:cs="Times New Roman"/>
          <w:sz w:val="28"/>
          <w:szCs w:val="24"/>
          <w:lang w:eastAsia="ru-RU"/>
        </w:rPr>
        <w:t>*</w:t>
      </w:r>
      <w:r w:rsidR="005456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06422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подготовлена по состоянию на 01.09.2025</w:t>
      </w:r>
      <w:r w:rsidR="005456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06422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sectPr w:rsidR="00F35527" w:rsidRPr="00CA4BE4" w:rsidSect="00CF329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E4" w:rsidRDefault="00D67FE4" w:rsidP="000F6C72">
      <w:pPr>
        <w:spacing w:after="0" w:line="240" w:lineRule="auto"/>
      </w:pPr>
      <w:r>
        <w:separator/>
      </w:r>
    </w:p>
  </w:endnote>
  <w:endnote w:type="continuationSeparator" w:id="0">
    <w:p w:rsidR="00D67FE4" w:rsidRDefault="00D67FE4" w:rsidP="000F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471979"/>
      <w:docPartObj>
        <w:docPartGallery w:val="Page Numbers (Bottom of Page)"/>
        <w:docPartUnique/>
      </w:docPartObj>
    </w:sdtPr>
    <w:sdtEndPr/>
    <w:sdtContent>
      <w:p w:rsidR="00D67FE4" w:rsidRDefault="00D67F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BFA">
          <w:rPr>
            <w:noProof/>
          </w:rPr>
          <w:t>1</w:t>
        </w:r>
        <w:r>
          <w:fldChar w:fldCharType="end"/>
        </w:r>
      </w:p>
    </w:sdtContent>
  </w:sdt>
  <w:p w:rsidR="00D67FE4" w:rsidRDefault="00D67FE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E4" w:rsidRDefault="00D67FE4" w:rsidP="000F6C72">
      <w:pPr>
        <w:spacing w:after="0" w:line="240" w:lineRule="auto"/>
      </w:pPr>
      <w:r>
        <w:separator/>
      </w:r>
    </w:p>
  </w:footnote>
  <w:footnote w:type="continuationSeparator" w:id="0">
    <w:p w:rsidR="00D67FE4" w:rsidRDefault="00D67FE4" w:rsidP="000F6C72">
      <w:pPr>
        <w:spacing w:after="0" w:line="240" w:lineRule="auto"/>
      </w:pPr>
      <w:r>
        <w:continuationSeparator/>
      </w:r>
    </w:p>
  </w:footnote>
  <w:footnote w:id="1">
    <w:p w:rsidR="00D67FE4" w:rsidRDefault="00D67FE4" w:rsidP="000F6C72">
      <w:pPr>
        <w:pStyle w:val="a7"/>
      </w:pPr>
      <w:r>
        <w:rPr>
          <w:rStyle w:val="a6"/>
        </w:rPr>
        <w:footnoteRef/>
      </w:r>
      <w:r>
        <w:t xml:space="preserve"> Финансирование указано согласно решению Собрания депутатов Златоустовского городского округа от 19.12.2024 № 60-ЗГО «О бюджете Златоустовского  городского округа на  2025 год и плановый период 2026 </w:t>
      </w:r>
      <w:r>
        <w:br/>
        <w:t>и 2027 годов» (в редакции от 15.08.2025 г. № 52-ЗГО)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7B8BF5"/>
    <w:multiLevelType w:val="singleLevel"/>
    <w:tmpl w:val="DC7B8BF5"/>
    <w:lvl w:ilvl="0">
      <w:start w:val="2"/>
      <w:numFmt w:val="decimal"/>
      <w:suff w:val="space"/>
      <w:lvlText w:val="%1)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0517946C"/>
    <w:multiLevelType w:val="singleLevel"/>
    <w:tmpl w:val="0517946C"/>
    <w:lvl w:ilvl="0">
      <w:start w:val="1"/>
      <w:numFmt w:val="decimal"/>
      <w:suff w:val="space"/>
      <w:lvlText w:val="%1)"/>
      <w:lvlJc w:val="left"/>
    </w:lvl>
  </w:abstractNum>
  <w:abstractNum w:abstractNumId="3">
    <w:nsid w:val="3CD02AF2"/>
    <w:multiLevelType w:val="hybridMultilevel"/>
    <w:tmpl w:val="85CC4CE6"/>
    <w:lvl w:ilvl="0" w:tplc="87DA1E7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5F"/>
    <w:rsid w:val="00024DD9"/>
    <w:rsid w:val="00071616"/>
    <w:rsid w:val="00082B39"/>
    <w:rsid w:val="0009319D"/>
    <w:rsid w:val="000F0F45"/>
    <w:rsid w:val="000F6C72"/>
    <w:rsid w:val="00177959"/>
    <w:rsid w:val="0019748D"/>
    <w:rsid w:val="001D7459"/>
    <w:rsid w:val="001F1588"/>
    <w:rsid w:val="00206422"/>
    <w:rsid w:val="00291D03"/>
    <w:rsid w:val="002A380F"/>
    <w:rsid w:val="002C15A2"/>
    <w:rsid w:val="00321DC5"/>
    <w:rsid w:val="003275BE"/>
    <w:rsid w:val="0037742F"/>
    <w:rsid w:val="003C5880"/>
    <w:rsid w:val="003E6CDE"/>
    <w:rsid w:val="0040736F"/>
    <w:rsid w:val="004376A9"/>
    <w:rsid w:val="004B6639"/>
    <w:rsid w:val="00535CD0"/>
    <w:rsid w:val="0054561D"/>
    <w:rsid w:val="00572CD5"/>
    <w:rsid w:val="005C5E5A"/>
    <w:rsid w:val="005E1C47"/>
    <w:rsid w:val="00600F48"/>
    <w:rsid w:val="00613B00"/>
    <w:rsid w:val="00616D31"/>
    <w:rsid w:val="00635599"/>
    <w:rsid w:val="006E22F6"/>
    <w:rsid w:val="007165BB"/>
    <w:rsid w:val="00766C3C"/>
    <w:rsid w:val="007715CA"/>
    <w:rsid w:val="007D4678"/>
    <w:rsid w:val="0094442A"/>
    <w:rsid w:val="0094753A"/>
    <w:rsid w:val="00A61EFD"/>
    <w:rsid w:val="00AE105F"/>
    <w:rsid w:val="00BE580D"/>
    <w:rsid w:val="00C52C48"/>
    <w:rsid w:val="00CA0941"/>
    <w:rsid w:val="00CA1A88"/>
    <w:rsid w:val="00CA4BE4"/>
    <w:rsid w:val="00CB030E"/>
    <w:rsid w:val="00CB2A0C"/>
    <w:rsid w:val="00CB665A"/>
    <w:rsid w:val="00CF3290"/>
    <w:rsid w:val="00D45944"/>
    <w:rsid w:val="00D524C3"/>
    <w:rsid w:val="00D67FE4"/>
    <w:rsid w:val="00DC1AEA"/>
    <w:rsid w:val="00E22203"/>
    <w:rsid w:val="00E5389A"/>
    <w:rsid w:val="00EE4E97"/>
    <w:rsid w:val="00F35527"/>
    <w:rsid w:val="00F619D0"/>
    <w:rsid w:val="00F95BFA"/>
    <w:rsid w:val="00FA761E"/>
    <w:rsid w:val="00FC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C1A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CD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qFormat/>
    <w:rsid w:val="00CF329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qFormat/>
    <w:rsid w:val="000F6C72"/>
    <w:rPr>
      <w:vertAlign w:val="superscript"/>
    </w:rPr>
  </w:style>
  <w:style w:type="paragraph" w:styleId="a7">
    <w:name w:val="footnote text"/>
    <w:basedOn w:val="a"/>
    <w:link w:val="a8"/>
    <w:qFormat/>
    <w:rsid w:val="000F6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qFormat/>
    <w:rsid w:val="000F6C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qFormat/>
    <w:rsid w:val="000F6C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275B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67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7FE4"/>
  </w:style>
  <w:style w:type="paragraph" w:styleId="ac">
    <w:name w:val="footer"/>
    <w:basedOn w:val="a"/>
    <w:link w:val="ad"/>
    <w:uiPriority w:val="99"/>
    <w:unhideWhenUsed/>
    <w:rsid w:val="00D67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7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C1A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CD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qFormat/>
    <w:rsid w:val="00CF329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qFormat/>
    <w:rsid w:val="000F6C72"/>
    <w:rPr>
      <w:vertAlign w:val="superscript"/>
    </w:rPr>
  </w:style>
  <w:style w:type="paragraph" w:styleId="a7">
    <w:name w:val="footnote text"/>
    <w:basedOn w:val="a"/>
    <w:link w:val="a8"/>
    <w:qFormat/>
    <w:rsid w:val="000F6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qFormat/>
    <w:rsid w:val="000F6C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qFormat/>
    <w:rsid w:val="000F6C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275B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67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7FE4"/>
  </w:style>
  <w:style w:type="paragraph" w:styleId="ac">
    <w:name w:val="footer"/>
    <w:basedOn w:val="a"/>
    <w:link w:val="ad"/>
    <w:uiPriority w:val="99"/>
    <w:unhideWhenUsed/>
    <w:rsid w:val="00D67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7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5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2178718930863504E-2"/>
          <c:y val="4.1583465883898905E-2"/>
          <c:w val="0.80167597765363718"/>
          <c:h val="0.6002621971565589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среднегодовая численность постоянного населения, тыс. человек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 (факт)</c:v>
                </c:pt>
                <c:pt idx="1">
                  <c:v>2025 год (оценка)  </c:v>
                </c:pt>
                <c:pt idx="2">
                  <c:v>2026 год (прогноз) </c:v>
                </c:pt>
                <c:pt idx="3">
                  <c:v>2027 год (прогноз) </c:v>
                </c:pt>
                <c:pt idx="4">
                  <c:v>2028 год (прогноз)</c:v>
                </c:pt>
              </c:strCache>
            </c:strRef>
          </c:cat>
          <c:val>
            <c:numRef>
              <c:f>Sheet1!$B$2:$F$2</c:f>
              <c:numCache>
                <c:formatCode>0.0</c:formatCode>
                <c:ptCount val="5"/>
                <c:pt idx="0">
                  <c:v>159.69999999999999</c:v>
                </c:pt>
                <c:pt idx="1">
                  <c:v>158.30000000000001</c:v>
                </c:pt>
                <c:pt idx="2">
                  <c:v>157.30000000000001</c:v>
                </c:pt>
                <c:pt idx="3">
                  <c:v>156.9</c:v>
                </c:pt>
                <c:pt idx="4">
                  <c:v>156.69999999999999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80259328"/>
        <c:axId val="82232448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</c:v>
                </c:pt>
              </c:strCache>
            </c:strRef>
          </c:tx>
          <c:dLbls>
            <c:dLbl>
              <c:idx val="0"/>
              <c:layout>
                <c:manualLayout>
                  <c:x val="-5.3854469349073807E-2"/>
                  <c:y val="-3.836483854152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249058954461398E-2"/>
                  <c:y val="-3.9871601415676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3145912358290798E-2"/>
                  <c:y val="-5.3443006853996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7056481766595108E-2"/>
                  <c:y val="-5.216822959564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3983955164177597E-2"/>
                  <c:y val="-5.5407640969285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 (факт)</c:v>
                </c:pt>
                <c:pt idx="1">
                  <c:v>2025 год (оценка)  </c:v>
                </c:pt>
                <c:pt idx="2">
                  <c:v>2026 год (прогноз) </c:v>
                </c:pt>
                <c:pt idx="3">
                  <c:v>2027 год (прогноз) </c:v>
                </c:pt>
                <c:pt idx="4">
                  <c:v>2028 год (прогноз)</c:v>
                </c:pt>
              </c:strCache>
            </c:strRef>
          </c:cat>
          <c:val>
            <c:numRef>
              <c:f>Sheet1!$B$3:$F$3</c:f>
              <c:numCache>
                <c:formatCode>0.0%</c:formatCode>
                <c:ptCount val="5"/>
                <c:pt idx="0">
                  <c:v>0.99299999999999999</c:v>
                </c:pt>
                <c:pt idx="1">
                  <c:v>0.99123356293049492</c:v>
                </c:pt>
                <c:pt idx="2">
                  <c:v>0.99368288060644294</c:v>
                </c:pt>
                <c:pt idx="3">
                  <c:v>0.99745708836617897</c:v>
                </c:pt>
                <c:pt idx="4">
                  <c:v>0.99872530274059912</c:v>
                </c:pt>
              </c:numCache>
            </c:numRef>
          </c: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2234752"/>
        <c:axId val="85187200"/>
      </c:lineChart>
      <c:catAx>
        <c:axId val="8025932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32448"/>
        <c:crosses val="autoZero"/>
        <c:auto val="0"/>
        <c:lblAlgn val="ctr"/>
        <c:lblOffset val="100"/>
        <c:tickLblSkip val="1"/>
        <c:noMultiLvlLbl val="0"/>
      </c:catAx>
      <c:valAx>
        <c:axId val="82232448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ru-RU" b="0">
                    <a:latin typeface="Times New Roman" panose="02020603050405020304" charset="0"/>
                    <a:cs typeface="Times New Roman" panose="02020603050405020304" charset="0"/>
                  </a:rPr>
                  <a:t>тыс. человек</a:t>
                </a:r>
              </a:p>
            </c:rich>
          </c:tx>
          <c:layout>
            <c:manualLayout>
              <c:xMode val="edge"/>
              <c:yMode val="edge"/>
              <c:x val="4.5945052816299498E-4"/>
              <c:y val="0.31725523868681099"/>
            </c:manualLayout>
          </c:layout>
          <c:overlay val="0"/>
        </c:title>
        <c:numFmt formatCode="0.0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259328"/>
        <c:crosses val="autoZero"/>
        <c:crossBetween val="between"/>
        <c:majorUnit val="2"/>
      </c:valAx>
      <c:catAx>
        <c:axId val="82234752"/>
        <c:scaling>
          <c:orientation val="minMax"/>
        </c:scaling>
        <c:delete val="1"/>
        <c:axPos val="b"/>
        <c:majorTickMark val="out"/>
        <c:minorTickMark val="none"/>
        <c:tickLblPos val="none"/>
        <c:crossAx val="85187200"/>
        <c:crosses val="autoZero"/>
        <c:auto val="0"/>
        <c:lblAlgn val="ctr"/>
        <c:lblOffset val="100"/>
        <c:noMultiLvlLbl val="0"/>
      </c:catAx>
      <c:valAx>
        <c:axId val="85187200"/>
        <c:scaling>
          <c:orientation val="minMax"/>
          <c:max val="1.03"/>
          <c:min val="0.9"/>
        </c:scaling>
        <c:delete val="0"/>
        <c:axPos val="r"/>
        <c:numFmt formatCode="0.0%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34752"/>
        <c:crosses val="max"/>
        <c:crossBetween val="between"/>
        <c:minorUnit val="0.1"/>
      </c:valAx>
    </c:plotArea>
    <c:legend>
      <c:legendPos val="b"/>
      <c:layout>
        <c:manualLayout>
          <c:xMode val="edge"/>
          <c:yMode val="edge"/>
          <c:x val="0.20373424808343402"/>
          <c:y val="0.82448067429221494"/>
          <c:w val="0.74629211325706402"/>
          <c:h val="0.14537822237353998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01d59da-6a8f-42e5-b4c3-d5978f491ce9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217871893086349E-2"/>
          <c:y val="4.1583465883898899E-2"/>
          <c:w val="0.80167597765363818"/>
          <c:h val="0.6002621971565589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объем продукции сельского хозяйства, млн. руб.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 (факт)</c:v>
                </c:pt>
                <c:pt idx="1">
                  <c:v>2025 год (оценка)  </c:v>
                </c:pt>
                <c:pt idx="2">
                  <c:v>2026 год (прогноз) </c:v>
                </c:pt>
                <c:pt idx="3">
                  <c:v>2027 год (прогноз) </c:v>
                </c:pt>
                <c:pt idx="4">
                  <c:v>2028 год (прогноз)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569.6</c:v>
                </c:pt>
                <c:pt idx="1">
                  <c:v>629.9</c:v>
                </c:pt>
                <c:pt idx="2">
                  <c:v>643.29999999999995</c:v>
                </c:pt>
                <c:pt idx="3" formatCode="0.0">
                  <c:v>670.9</c:v>
                </c:pt>
                <c:pt idx="4">
                  <c:v>699.8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26691200"/>
        <c:axId val="126698240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 (в сопоставимых ценах)</c:v>
                </c:pt>
              </c:strCache>
            </c:strRef>
          </c:tx>
          <c:dLbls>
            <c:dLbl>
              <c:idx val="0"/>
              <c:layout>
                <c:manualLayout>
                  <c:x val="-6.9291109775867582E-2"/>
                  <c:y val="-3.8364875531659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7615231218144015E-2"/>
                  <c:y val="-5.38088096302343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3145912358290798E-2"/>
                  <c:y val="-5.34430068539965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7056481766595094E-2"/>
                  <c:y val="-5.216822959564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3983955164177583E-2"/>
                  <c:y val="-5.5407640969285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 (факт)</c:v>
                </c:pt>
                <c:pt idx="1">
                  <c:v>2025 год (оценка)  </c:v>
                </c:pt>
                <c:pt idx="2">
                  <c:v>2026 год (прогноз) </c:v>
                </c:pt>
                <c:pt idx="3">
                  <c:v>2027 год (прогноз) </c:v>
                </c:pt>
                <c:pt idx="4">
                  <c:v>2028 год (прогноз)</c:v>
                </c:pt>
              </c:strCache>
            </c:strRef>
          </c:cat>
          <c:val>
            <c:numRef>
              <c:f>Sheet1!$B$3:$F$3</c:f>
              <c:numCache>
                <c:formatCode>0.0%</c:formatCode>
                <c:ptCount val="5"/>
                <c:pt idx="0">
                  <c:v>0.8640000000000001</c:v>
                </c:pt>
                <c:pt idx="1">
                  <c:v>1.028</c:v>
                </c:pt>
                <c:pt idx="2">
                  <c:v>0.97400000000000009</c:v>
                </c:pt>
                <c:pt idx="3">
                  <c:v>0.998</c:v>
                </c:pt>
                <c:pt idx="4">
                  <c:v>1.0009999999999997</c:v>
                </c:pt>
              </c:numCache>
            </c:numRef>
          </c: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6700160"/>
        <c:axId val="126706048"/>
      </c:lineChart>
      <c:catAx>
        <c:axId val="1266912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698240"/>
        <c:crosses val="autoZero"/>
        <c:auto val="0"/>
        <c:lblAlgn val="ctr"/>
        <c:lblOffset val="100"/>
        <c:tickLblSkip val="1"/>
        <c:noMultiLvlLbl val="0"/>
      </c:catAx>
      <c:valAx>
        <c:axId val="126698240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ru-RU" b="0">
                    <a:latin typeface="Times New Roman" panose="02020603050405020304" charset="0"/>
                    <a:cs typeface="Times New Roman" panose="02020603050405020304" charset="0"/>
                  </a:rPr>
                  <a:t>млн. руб.</a:t>
                </a:r>
              </a:p>
            </c:rich>
          </c:tx>
          <c:layout>
            <c:manualLayout>
              <c:xMode val="edge"/>
              <c:yMode val="edge"/>
              <c:x val="9.811864165865632E-3"/>
              <c:y val="0.231305559436912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691200"/>
        <c:crosses val="autoZero"/>
        <c:crossBetween val="between"/>
        <c:majorUnit val="200"/>
      </c:valAx>
      <c:catAx>
        <c:axId val="126700160"/>
        <c:scaling>
          <c:orientation val="minMax"/>
        </c:scaling>
        <c:delete val="1"/>
        <c:axPos val="b"/>
        <c:majorTickMark val="out"/>
        <c:minorTickMark val="none"/>
        <c:tickLblPos val="none"/>
        <c:crossAx val="126706048"/>
        <c:crosses val="autoZero"/>
        <c:auto val="0"/>
        <c:lblAlgn val="ctr"/>
        <c:lblOffset val="100"/>
        <c:noMultiLvlLbl val="0"/>
      </c:catAx>
      <c:valAx>
        <c:axId val="126706048"/>
        <c:scaling>
          <c:orientation val="minMax"/>
          <c:max val="1.2"/>
          <c:min val="0"/>
        </c:scaling>
        <c:delete val="0"/>
        <c:axPos val="r"/>
        <c:numFmt formatCode="0.0%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700160"/>
        <c:crosses val="max"/>
        <c:crossBetween val="between"/>
        <c:majorUnit val="0.30000000000000004"/>
        <c:minorUnit val="0.1"/>
      </c:valAx>
    </c:plotArea>
    <c:legend>
      <c:legendPos val="b"/>
      <c:layout>
        <c:manualLayout>
          <c:xMode val="edge"/>
          <c:yMode val="edge"/>
          <c:x val="0.24811916149993904"/>
          <c:y val="0.82351229976571982"/>
          <c:w val="0.53864603362114416"/>
          <c:h val="0.15025263022312299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fb6fc67-b36f-4715-a6dd-9ca3368ed735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Прогноз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524.9</c:v>
                </c:pt>
                <c:pt idx="1">
                  <c:v>531.79999999999995</c:v>
                </c:pt>
                <c:pt idx="2">
                  <c:v>565.4</c:v>
                </c:pt>
                <c:pt idx="3">
                  <c:v>518</c:v>
                </c:pt>
                <c:pt idx="4">
                  <c:v>651.1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543.6</c:v>
                </c:pt>
                <c:pt idx="1">
                  <c:v>561.5</c:v>
                </c:pt>
                <c:pt idx="2">
                  <c:v>588</c:v>
                </c:pt>
                <c:pt idx="3">
                  <c:v>585.29999999999995</c:v>
                </c:pt>
                <c:pt idx="4">
                  <c:v>569.6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769024"/>
        <c:axId val="126770560"/>
      </c:barChart>
      <c:catAx>
        <c:axId val="1267690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770560"/>
        <c:crosses val="autoZero"/>
        <c:auto val="1"/>
        <c:lblAlgn val="ctr"/>
        <c:lblOffset val="100"/>
        <c:noMultiLvlLbl val="0"/>
      </c:catAx>
      <c:valAx>
        <c:axId val="126770560"/>
        <c:scaling>
          <c:orientation val="minMax"/>
          <c:max val="650"/>
          <c:min val="40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7690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0653616214639793"/>
          <c:y val="0.90046462942132188"/>
          <c:w val="0.13368693496646303"/>
          <c:h val="9.9535370578677743E-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3299ff0-af65-48f0-9138-2f3b74700449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106145251396804"/>
          <c:y val="8.6206896551724227E-2"/>
          <c:w val="0.75279329608939827"/>
          <c:h val="0.6792298788738382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Объем инвестиций в основной капитал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 (факт)</c:v>
                </c:pt>
                <c:pt idx="1">
                  <c:v>2025 год (оценка)  </c:v>
                </c:pt>
                <c:pt idx="2">
                  <c:v>2026 год (прогноз) </c:v>
                </c:pt>
                <c:pt idx="3">
                  <c:v>2027 год (прогноз) </c:v>
                </c:pt>
                <c:pt idx="4">
                  <c:v>2028 год (прогноз) </c:v>
                </c:pt>
              </c:strCache>
            </c:strRef>
          </c:cat>
          <c:val>
            <c:numRef>
              <c:f>Sheet1!$B$2:$F$2</c:f>
              <c:numCache>
                <c:formatCode>#,##0.00</c:formatCode>
                <c:ptCount val="5"/>
                <c:pt idx="0">
                  <c:v>3120.4</c:v>
                </c:pt>
                <c:pt idx="1">
                  <c:v>3301.4</c:v>
                </c:pt>
                <c:pt idx="2">
                  <c:v>3482.9</c:v>
                </c:pt>
                <c:pt idx="3">
                  <c:v>3657.1</c:v>
                </c:pt>
                <c:pt idx="4">
                  <c:v>3852.3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26788736"/>
        <c:axId val="126791680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Темп роста в сопоставимых ценах</c:v>
                </c:pt>
              </c:strCache>
            </c:strRef>
          </c:tx>
          <c:spPr>
            <a:ln w="28575" cap="rnd" cmpd="sng" algn="ctr">
              <a:solidFill>
                <a:srgbClr val="002060"/>
              </a:solidFill>
              <a:prstDash val="solid"/>
              <a:round/>
            </a:ln>
          </c:spPr>
          <c:marker>
            <c:spPr>
              <a:solidFill>
                <a:srgbClr val="002060"/>
              </a:solidFill>
              <a:ln w="9525" cap="flat" cmpd="sng" algn="ctr">
                <a:solidFill>
                  <a:srgbClr val="002060"/>
                </a:solidFill>
                <a:prstDash val="solid"/>
                <a:round/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 (факт)</c:v>
                </c:pt>
                <c:pt idx="1">
                  <c:v>2025 год (оценка)  </c:v>
                </c:pt>
                <c:pt idx="2">
                  <c:v>2026 год (прогноз) </c:v>
                </c:pt>
                <c:pt idx="3">
                  <c:v>2027 год (прогноз) </c:v>
                </c:pt>
                <c:pt idx="4">
                  <c:v>2028 год (прогноз) </c:v>
                </c:pt>
              </c:strCache>
            </c:strRef>
          </c:cat>
          <c:val>
            <c:numRef>
              <c:f>Sheet1!$B$3:$F$3</c:f>
              <c:numCache>
                <c:formatCode>0.00%</c:formatCode>
                <c:ptCount val="5"/>
                <c:pt idx="0">
                  <c:v>1.1319999999999997</c:v>
                </c:pt>
                <c:pt idx="1">
                  <c:v>1.0329999999999997</c:v>
                </c:pt>
                <c:pt idx="2">
                  <c:v>1.002</c:v>
                </c:pt>
                <c:pt idx="3" formatCode="0.0%">
                  <c:v>1.006</c:v>
                </c:pt>
                <c:pt idx="4" formatCode="0.0%">
                  <c:v>1.01</c:v>
                </c:pt>
              </c:numCache>
            </c:numRef>
          </c: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6793600"/>
        <c:axId val="126795136"/>
      </c:lineChart>
      <c:catAx>
        <c:axId val="1267887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126791680"/>
        <c:crosses val="autoZero"/>
        <c:auto val="0"/>
        <c:lblAlgn val="ctr"/>
        <c:lblOffset val="100"/>
        <c:tickLblSkip val="1"/>
        <c:noMultiLvlLbl val="0"/>
      </c:catAx>
      <c:valAx>
        <c:axId val="126791680"/>
        <c:scaling>
          <c:orientation val="minMax"/>
          <c:min val="2000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ru-RU" b="0"/>
                  <a:t>млн. руб.</a:t>
                </a:r>
              </a:p>
            </c:rich>
          </c:tx>
          <c:layout>
            <c:manualLayout>
              <c:xMode val="edge"/>
              <c:yMode val="edge"/>
              <c:x val="1.3966480446927604E-2"/>
              <c:y val="0.33620689655172398"/>
            </c:manualLayout>
          </c:layout>
          <c:overlay val="0"/>
        </c:title>
        <c:numFmt formatCode="#,##0.00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126788736"/>
        <c:crosses val="autoZero"/>
        <c:crossBetween val="between"/>
        <c:majorUnit val="500"/>
      </c:valAx>
      <c:catAx>
        <c:axId val="126793600"/>
        <c:scaling>
          <c:orientation val="minMax"/>
        </c:scaling>
        <c:delete val="1"/>
        <c:axPos val="b"/>
        <c:majorTickMark val="out"/>
        <c:minorTickMark val="none"/>
        <c:tickLblPos val="none"/>
        <c:crossAx val="126795136"/>
        <c:crosses val="autoZero"/>
        <c:auto val="0"/>
        <c:lblAlgn val="ctr"/>
        <c:lblOffset val="100"/>
        <c:noMultiLvlLbl val="0"/>
      </c:catAx>
      <c:valAx>
        <c:axId val="126795136"/>
        <c:scaling>
          <c:orientation val="minMax"/>
          <c:max val="1.3"/>
          <c:min val="0"/>
        </c:scaling>
        <c:delete val="0"/>
        <c:axPos val="r"/>
        <c:numFmt formatCode="0.00%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126793600"/>
        <c:crosses val="max"/>
        <c:crossBetween val="between"/>
        <c:majorUnit val="0.25"/>
      </c:valAx>
    </c:plotArea>
    <c:legend>
      <c:legendPos val="b"/>
      <c:layout>
        <c:manualLayout>
          <c:xMode val="edge"/>
          <c:yMode val="edge"/>
          <c:x val="0.172252716823146"/>
          <c:y val="0.88769966541422307"/>
          <c:w val="0.68587816478320496"/>
          <c:h val="0.11197958950783299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3a91264-81d6-499c-ae45-d2189d55480f}"/>
      </c:ext>
    </c:extLst>
  </c:chart>
  <c:spPr>
    <a:ln w="9525" cap="flat" cmpd="sng" algn="ctr">
      <a:noFill/>
      <a:prstDash val="solid"/>
      <a:round/>
    </a:ln>
  </c:spPr>
  <c:txPr>
    <a:bodyPr/>
    <a:lstStyle/>
    <a:p>
      <a:pPr algn="just">
        <a:defRPr lang="ru-RU">
          <a:latin typeface="Times New Roman" panose="02020603050405020304" charset="0"/>
          <a:cs typeface="Times New Roman" panose="02020603050405020304" charset="0"/>
        </a:defRPr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Прогноз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5"/>
                <c:pt idx="0">
                  <c:v>1.0947</c:v>
                </c:pt>
                <c:pt idx="1">
                  <c:v>1.4004999999999999</c:v>
                </c:pt>
                <c:pt idx="2">
                  <c:v>1.8825000000000001</c:v>
                </c:pt>
                <c:pt idx="3">
                  <c:v>1.6400999999999999</c:v>
                </c:pt>
                <c:pt idx="4">
                  <c:v>2.6817000000000002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Лист1!$C$2:$C$6</c:f>
              <c:numCache>
                <c:formatCode>0.00</c:formatCode>
                <c:ptCount val="5"/>
                <c:pt idx="0">
                  <c:v>1.0351999999999997</c:v>
                </c:pt>
                <c:pt idx="1">
                  <c:v>2.5956999999999995</c:v>
                </c:pt>
                <c:pt idx="2">
                  <c:v>1.5382</c:v>
                </c:pt>
                <c:pt idx="3">
                  <c:v>2.5531000000000001</c:v>
                </c:pt>
                <c:pt idx="4">
                  <c:v>3.1204000000000001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935808"/>
        <c:axId val="126937344"/>
      </c:barChart>
      <c:catAx>
        <c:axId val="1269358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937344"/>
        <c:crosses val="autoZero"/>
        <c:auto val="1"/>
        <c:lblAlgn val="ctr"/>
        <c:lblOffset val="100"/>
        <c:noMultiLvlLbl val="0"/>
      </c:catAx>
      <c:valAx>
        <c:axId val="126937344"/>
        <c:scaling>
          <c:orientation val="minMax"/>
        </c:scaling>
        <c:delete val="0"/>
        <c:axPos val="l"/>
        <c:numFmt formatCode="0.0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9358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0653616214639793"/>
          <c:y val="0.90046462942132188"/>
          <c:w val="0.13368693496646303"/>
          <c:h val="9.9535370578677743E-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bacd574-f2fb-4068-8b1e-d46f0c3c4142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648725212465"/>
          <c:y val="3.5805626598465499E-2"/>
          <c:w val="0.73229461756374825"/>
          <c:h val="0.6445012787723789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среднегодовая стоимость имущества, облагаемого налогом на имущество организаций, млн. руб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 (факт)</c:v>
                </c:pt>
                <c:pt idx="1">
                  <c:v>2025 год (оценка)</c:v>
                </c:pt>
                <c:pt idx="2">
                  <c:v>2026 год (прогноз)</c:v>
                </c:pt>
                <c:pt idx="3">
                  <c:v>2027 год (прогноз)</c:v>
                </c:pt>
                <c:pt idx="4">
                  <c:v>2028 год (прогноз)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7755.6</c:v>
                </c:pt>
                <c:pt idx="1">
                  <c:v>8205.4</c:v>
                </c:pt>
                <c:pt idx="2">
                  <c:v>8656.7000000000007</c:v>
                </c:pt>
                <c:pt idx="3">
                  <c:v>9089.6</c:v>
                </c:pt>
                <c:pt idx="4">
                  <c:v>9507.7000000000007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8684416"/>
        <c:axId val="128687104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</c:v>
                </c:pt>
              </c:strCache>
            </c:strRef>
          </c:tx>
          <c:dLbls>
            <c:dLbl>
              <c:idx val="0"/>
              <c:layout>
                <c:manualLayout>
                  <c:x val="-4.1473768739326705E-3"/>
                  <c:y val="-0.11721186076795502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1473768739326402E-3"/>
                  <c:y val="-0.14511944666508703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0736884369663201E-3"/>
                  <c:y val="-0.16744595487233704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8881658193118403E-2"/>
                  <c:y val="-6.837355539851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5102721413322715E-2"/>
                  <c:y val="-8.51074578020843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 (факт)</c:v>
                </c:pt>
                <c:pt idx="1">
                  <c:v>2025 год (оценка)</c:v>
                </c:pt>
                <c:pt idx="2">
                  <c:v>2026 год (прогноз)</c:v>
                </c:pt>
                <c:pt idx="3">
                  <c:v>2027 год (прогноз)</c:v>
                </c:pt>
                <c:pt idx="4">
                  <c:v>2028 год (прогноз)</c:v>
                </c:pt>
              </c:strCache>
            </c:strRef>
          </c:cat>
          <c:val>
            <c:numRef>
              <c:f>Sheet1!$B$3:$F$3</c:f>
              <c:numCache>
                <c:formatCode>0.0</c:formatCode>
                <c:ptCount val="5"/>
                <c:pt idx="0">
                  <c:v>99.4</c:v>
                </c:pt>
                <c:pt idx="1">
                  <c:v>105.799680231059</c:v>
                </c:pt>
                <c:pt idx="2">
                  <c:v>105.50003656128898</c:v>
                </c:pt>
                <c:pt idx="3">
                  <c:v>105.00075086349298</c:v>
                </c:pt>
                <c:pt idx="4">
                  <c:v>104.59976236578099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9000576"/>
        <c:axId val="129002112"/>
      </c:lineChart>
      <c:catAx>
        <c:axId val="1286844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128687104"/>
        <c:crosses val="autoZero"/>
        <c:auto val="0"/>
        <c:lblAlgn val="ctr"/>
        <c:lblOffset val="100"/>
        <c:tickLblSkip val="1"/>
        <c:noMultiLvlLbl val="0"/>
      </c:catAx>
      <c:valAx>
        <c:axId val="128687104"/>
        <c:scaling>
          <c:orientation val="minMax"/>
          <c:max val="10500"/>
          <c:min val="7000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ru-RU" b="0"/>
                  <a:t>млн.руб.</a:t>
                </a:r>
              </a:p>
            </c:rich>
          </c:tx>
          <c:layout>
            <c:manualLayout>
              <c:xMode val="edge"/>
              <c:yMode val="edge"/>
              <c:x val="1.4164305949008501E-3"/>
              <c:y val="0.27877237851662401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128684416"/>
        <c:crosses val="autoZero"/>
        <c:crossBetween val="between"/>
        <c:majorUnit val="1000"/>
      </c:valAx>
      <c:catAx>
        <c:axId val="129000576"/>
        <c:scaling>
          <c:orientation val="minMax"/>
        </c:scaling>
        <c:delete val="1"/>
        <c:axPos val="b"/>
        <c:majorTickMark val="out"/>
        <c:minorTickMark val="none"/>
        <c:tickLblPos val="none"/>
        <c:crossAx val="129002112"/>
        <c:crosses val="autoZero"/>
        <c:auto val="0"/>
        <c:lblAlgn val="ctr"/>
        <c:lblOffset val="100"/>
        <c:noMultiLvlLbl val="0"/>
      </c:catAx>
      <c:valAx>
        <c:axId val="129002112"/>
        <c:scaling>
          <c:orientation val="minMax"/>
          <c:max val="120"/>
          <c:min val="0"/>
        </c:scaling>
        <c:delete val="0"/>
        <c:axPos val="r"/>
        <c:numFmt formatCode="0.0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129000576"/>
        <c:crosses val="max"/>
        <c:crossBetween val="between"/>
        <c:majorUnit val="25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1.4164305949008501E-3"/>
          <c:y val="0.84398976982097196"/>
          <c:w val="0.988668555240793"/>
          <c:h val="0.1304347826086960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42dd2c8-ede5-422b-ae0b-83ed051e0e46}"/>
      </c:ext>
    </c:extLst>
  </c:chart>
  <c:spPr>
    <a:ln w="9525" cap="flat" cmpd="sng" algn="ctr">
      <a:noFill/>
      <a:prstDash val="solid"/>
      <a:round/>
    </a:ln>
  </c:spPr>
  <c:txPr>
    <a:bodyPr/>
    <a:lstStyle/>
    <a:p>
      <a:pPr algn="just">
        <a:defRPr lang="ru-RU">
          <a:latin typeface="Times New Roman" panose="02020603050405020304" charset="0"/>
          <a:cs typeface="Times New Roman" panose="02020603050405020304" charset="0"/>
        </a:defRPr>
      </a:pPr>
      <a:endParaRPr lang="ru-RU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Прогноз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5"/>
                <c:pt idx="0">
                  <c:v>4.5184999999999995</c:v>
                </c:pt>
                <c:pt idx="1">
                  <c:v>5.7591000000000001</c:v>
                </c:pt>
                <c:pt idx="2">
                  <c:v>6.5444999999999993</c:v>
                </c:pt>
                <c:pt idx="3">
                  <c:v>8.2853000000000012</c:v>
                </c:pt>
                <c:pt idx="4">
                  <c:v>8.0360000000000014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Лист1!$C$2:$C$6</c:f>
              <c:numCache>
                <c:formatCode>0.00</c:formatCode>
                <c:ptCount val="5"/>
                <c:pt idx="0">
                  <c:v>5.6462000000000003</c:v>
                </c:pt>
                <c:pt idx="1">
                  <c:v>6.4161999999999999</c:v>
                </c:pt>
                <c:pt idx="2">
                  <c:v>8.043940000000001</c:v>
                </c:pt>
                <c:pt idx="3">
                  <c:v>7.8018999999999998</c:v>
                </c:pt>
                <c:pt idx="4">
                  <c:v>7.7556000000000003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604352"/>
        <c:axId val="139605888"/>
      </c:barChart>
      <c:catAx>
        <c:axId val="1396043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605888"/>
        <c:crosses val="autoZero"/>
        <c:auto val="1"/>
        <c:lblAlgn val="ctr"/>
        <c:lblOffset val="100"/>
        <c:noMultiLvlLbl val="0"/>
      </c:catAx>
      <c:valAx>
        <c:axId val="139605888"/>
        <c:scaling>
          <c:orientation val="minMax"/>
        </c:scaling>
        <c:delete val="0"/>
        <c:axPos val="l"/>
        <c:numFmt formatCode="0.0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6043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0653616214639793"/>
          <c:y val="0.90046462942132188"/>
          <c:w val="0.13368693496646303"/>
          <c:h val="9.9535370578677743E-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fbfeecd-2fdb-4294-83d1-614b13279004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Прогноз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165.4</c:v>
                </c:pt>
                <c:pt idx="1">
                  <c:v>163.19999999999999</c:v>
                </c:pt>
                <c:pt idx="2">
                  <c:v>160.9</c:v>
                </c:pt>
                <c:pt idx="3">
                  <c:v>160.9</c:v>
                </c:pt>
                <c:pt idx="4">
                  <c:v>159.6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165.1</c:v>
                </c:pt>
                <c:pt idx="1">
                  <c:v>163</c:v>
                </c:pt>
                <c:pt idx="2">
                  <c:v>162.19999999999999</c:v>
                </c:pt>
                <c:pt idx="3">
                  <c:v>161</c:v>
                </c:pt>
                <c:pt idx="4">
                  <c:v>159.69999999999999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444672"/>
        <c:axId val="126446592"/>
      </c:barChart>
      <c:catAx>
        <c:axId val="1264446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446592"/>
        <c:crosses val="autoZero"/>
        <c:auto val="1"/>
        <c:lblAlgn val="ctr"/>
        <c:lblOffset val="100"/>
        <c:noMultiLvlLbl val="0"/>
      </c:catAx>
      <c:valAx>
        <c:axId val="126446592"/>
        <c:scaling>
          <c:orientation val="minMax"/>
          <c:max val="166"/>
          <c:min val="157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444672"/>
        <c:crosses val="autoZero"/>
        <c:crossBetween val="between"/>
        <c:majorUnit val="1.5"/>
      </c:valAx>
    </c:plotArea>
    <c:legend>
      <c:legendPos val="b"/>
      <c:layout>
        <c:manualLayout>
          <c:xMode val="edge"/>
          <c:yMode val="edge"/>
          <c:x val="0.40653616214639793"/>
          <c:y val="0.90046462942132188"/>
          <c:w val="0.13368693496646303"/>
          <c:h val="9.9535370578677743E-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6dd0f2a-49e5-42eb-9186-f8aae5286f44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324214920783902"/>
          <c:y val="5.4688787792714598E-2"/>
          <c:w val="0.77017143967403323"/>
          <c:h val="0.6107544806455702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Объем отгруженных товаров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 (факт)</c:v>
                </c:pt>
                <c:pt idx="1">
                  <c:v>2025 год (оценка)  </c:v>
                </c:pt>
                <c:pt idx="2">
                  <c:v>2026 год (прогноз)</c:v>
                </c:pt>
                <c:pt idx="3">
                  <c:v>2027 год (прогноз)</c:v>
                </c:pt>
                <c:pt idx="4">
                  <c:v>2028 год (прогноз)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44819.199999999997</c:v>
                </c:pt>
                <c:pt idx="1">
                  <c:v>46971.8</c:v>
                </c:pt>
                <c:pt idx="2">
                  <c:v>49078.7</c:v>
                </c:pt>
                <c:pt idx="3">
                  <c:v>52415.6</c:v>
                </c:pt>
                <c:pt idx="4">
                  <c:v>56091.6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79180544"/>
        <c:axId val="79183232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Индекс производства</c:v>
                </c:pt>
              </c:strCache>
            </c:strRef>
          </c:tx>
          <c:dLbls>
            <c:dLbl>
              <c:idx val="1"/>
              <c:layout>
                <c:manualLayout>
                  <c:x val="-4.0859105377785185E-2"/>
                  <c:y val="-7.2874061474023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 (факт)</c:v>
                </c:pt>
                <c:pt idx="1">
                  <c:v>2025 год (оценка)  </c:v>
                </c:pt>
                <c:pt idx="2">
                  <c:v>2026 год (прогноз)</c:v>
                </c:pt>
                <c:pt idx="3">
                  <c:v>2027 год (прогноз)</c:v>
                </c:pt>
                <c:pt idx="4">
                  <c:v>2028 год (прогноз)</c:v>
                </c:pt>
              </c:strCache>
            </c:strRef>
          </c:cat>
          <c:val>
            <c:numRef>
              <c:f>Sheet1!$B$3:$F$3</c:f>
              <c:numCache>
                <c:formatCode>0.0%</c:formatCode>
                <c:ptCount val="5"/>
                <c:pt idx="0">
                  <c:v>1.024</c:v>
                </c:pt>
                <c:pt idx="1">
                  <c:v>0.98899999999999999</c:v>
                </c:pt>
                <c:pt idx="2">
                  <c:v>0.997</c:v>
                </c:pt>
                <c:pt idx="3">
                  <c:v>1.022</c:v>
                </c:pt>
                <c:pt idx="4">
                  <c:v>1.0269999999999997</c:v>
                </c:pt>
              </c:numCache>
            </c:numRef>
          </c: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5190144"/>
        <c:axId val="85191680"/>
      </c:lineChart>
      <c:catAx>
        <c:axId val="7918054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79183232"/>
        <c:crosses val="autoZero"/>
        <c:auto val="0"/>
        <c:lblAlgn val="ctr"/>
        <c:lblOffset val="100"/>
        <c:tickLblSkip val="1"/>
        <c:noMultiLvlLbl val="0"/>
      </c:catAx>
      <c:valAx>
        <c:axId val="79183232"/>
        <c:scaling>
          <c:orientation val="minMax"/>
          <c:max val="58000"/>
          <c:min val="30000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ru-RU" b="0"/>
                  <a:t>млн. руб.</a:t>
                </a:r>
              </a:p>
            </c:rich>
          </c:tx>
          <c:layout>
            <c:manualLayout>
              <c:xMode val="edge"/>
              <c:yMode val="edge"/>
              <c:x val="0"/>
              <c:y val="0.33620700758130101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79180544"/>
        <c:crosses val="autoZero"/>
        <c:crossBetween val="between"/>
        <c:majorUnit val="5000"/>
      </c:valAx>
      <c:catAx>
        <c:axId val="85190144"/>
        <c:scaling>
          <c:orientation val="minMax"/>
        </c:scaling>
        <c:delete val="1"/>
        <c:axPos val="b"/>
        <c:majorTickMark val="out"/>
        <c:minorTickMark val="none"/>
        <c:tickLblPos val="none"/>
        <c:crossAx val="85191680"/>
        <c:crosses val="autoZero"/>
        <c:auto val="0"/>
        <c:lblAlgn val="ctr"/>
        <c:lblOffset val="100"/>
        <c:noMultiLvlLbl val="0"/>
      </c:catAx>
      <c:valAx>
        <c:axId val="85191680"/>
        <c:scaling>
          <c:orientation val="minMax"/>
          <c:max val="1.2"/>
          <c:min val="0"/>
        </c:scaling>
        <c:delete val="0"/>
        <c:axPos val="r"/>
        <c:numFmt formatCode="0.0%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85190144"/>
        <c:crosses val="max"/>
        <c:crossBetween val="between"/>
        <c:majorUnit val="0.5"/>
      </c:valAx>
    </c:plotArea>
    <c:legend>
      <c:legendPos val="b"/>
      <c:layout>
        <c:manualLayout>
          <c:xMode val="edge"/>
          <c:yMode val="edge"/>
          <c:x val="0.23807059310630399"/>
          <c:y val="0.87925608944062383"/>
          <c:w val="0.49469012643223592"/>
          <c:h val="0.11809359446125005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3052733-e441-428b-9d1a-889735a531ca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>
          <a:latin typeface="Times New Roman" panose="02020603050405020304" charset="0"/>
          <a:cs typeface="Times New Roman" panose="02020603050405020304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Прогноз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19.623100000000001</c:v>
                </c:pt>
                <c:pt idx="1">
                  <c:v>15.76</c:v>
                </c:pt>
                <c:pt idx="2">
                  <c:v>23.252099999999995</c:v>
                </c:pt>
                <c:pt idx="3">
                  <c:v>39.556799999999996</c:v>
                </c:pt>
                <c:pt idx="4">
                  <c:v>47.933600000000006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14.248599999999998</c:v>
                </c:pt>
                <c:pt idx="1">
                  <c:v>17.197299999999995</c:v>
                </c:pt>
                <c:pt idx="2">
                  <c:v>36.246600000000001</c:v>
                </c:pt>
                <c:pt idx="3">
                  <c:v>40.542500000000004</c:v>
                </c:pt>
                <c:pt idx="4">
                  <c:v>44.819199999999995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143872"/>
        <c:axId val="100145408"/>
      </c:barChart>
      <c:catAx>
        <c:axId val="1001438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145408"/>
        <c:crosses val="autoZero"/>
        <c:auto val="1"/>
        <c:lblAlgn val="ctr"/>
        <c:lblOffset val="100"/>
        <c:noMultiLvlLbl val="0"/>
      </c:catAx>
      <c:valAx>
        <c:axId val="100145408"/>
        <c:scaling>
          <c:orientation val="minMax"/>
          <c:max val="50"/>
          <c:min val="1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1438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0653616214639793"/>
          <c:y val="0.90046462942132188"/>
          <c:w val="0.13368693496646303"/>
          <c:h val="9.9535370578677743E-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67d62c6-1d91-4d63-934c-7923510246b2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Прогноз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92.6</c:v>
                </c:pt>
                <c:pt idx="1">
                  <c:v>99.8</c:v>
                </c:pt>
                <c:pt idx="2">
                  <c:v>115.2</c:v>
                </c:pt>
                <c:pt idx="3">
                  <c:v>108.5</c:v>
                </c:pt>
                <c:pt idx="4">
                  <c:v>108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69.599999999999994</c:v>
                </c:pt>
                <c:pt idx="1">
                  <c:v>96.6</c:v>
                </c:pt>
                <c:pt idx="2">
                  <c:v>197.2</c:v>
                </c:pt>
                <c:pt idx="3">
                  <c:v>107.9</c:v>
                </c:pt>
                <c:pt idx="4">
                  <c:v>102.4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179968"/>
        <c:axId val="100181504"/>
      </c:barChart>
      <c:catAx>
        <c:axId val="1001799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181504"/>
        <c:crosses val="autoZero"/>
        <c:auto val="1"/>
        <c:lblAlgn val="ctr"/>
        <c:lblOffset val="100"/>
        <c:noMultiLvlLbl val="0"/>
      </c:catAx>
      <c:valAx>
        <c:axId val="100181504"/>
        <c:scaling>
          <c:orientation val="minMax"/>
          <c:max val="200"/>
          <c:min val="4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179968"/>
        <c:crosses val="autoZero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40653616214639793"/>
          <c:y val="0.90046462942132188"/>
          <c:w val="0.13368693496646303"/>
          <c:h val="9.9535370578677743E-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9c2aaac-f010-43cc-9f4e-fd291c0fbce5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217871893086349E-2"/>
          <c:y val="4.1583465883898899E-2"/>
          <c:w val="0.80167597765363818"/>
          <c:h val="0.6002621971565589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оплата труда наемных работников, млн. рублей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 (факт)</c:v>
                </c:pt>
                <c:pt idx="1">
                  <c:v>2025 год (оценка)  </c:v>
                </c:pt>
                <c:pt idx="2">
                  <c:v>2026 год (прогноз) </c:v>
                </c:pt>
                <c:pt idx="3">
                  <c:v>2027 год (прогноз) </c:v>
                </c:pt>
                <c:pt idx="4">
                  <c:v>2028 год (прогноз)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23822.2</c:v>
                </c:pt>
                <c:pt idx="1">
                  <c:v>27131.7</c:v>
                </c:pt>
                <c:pt idx="2">
                  <c:v>30381.200000000001</c:v>
                </c:pt>
                <c:pt idx="3">
                  <c:v>33171.800000000003</c:v>
                </c:pt>
                <c:pt idx="4">
                  <c:v>36066.9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14498560"/>
        <c:axId val="114505600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</c:v>
                </c:pt>
              </c:strCache>
            </c:strRef>
          </c:tx>
          <c:dLbls>
            <c:dLbl>
              <c:idx val="0"/>
              <c:layout>
                <c:manualLayout>
                  <c:x val="-8.1073216363418479E-2"/>
                  <c:y val="-1.4899320791008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1905882898658294E-2"/>
                  <c:y val="-5.3808979984372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7436596198671015E-2"/>
                  <c:y val="-6.92404479974354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9571720003543004E-2"/>
                  <c:y val="-8.92053076698747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2201979907150801E-2"/>
                  <c:y val="-5.5407825930155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 (факт)</c:v>
                </c:pt>
                <c:pt idx="1">
                  <c:v>2025 год (оценка)  </c:v>
                </c:pt>
                <c:pt idx="2">
                  <c:v>2026 год (прогноз) </c:v>
                </c:pt>
                <c:pt idx="3">
                  <c:v>2027 год (прогноз) </c:v>
                </c:pt>
                <c:pt idx="4">
                  <c:v>2028 год (прогноз)</c:v>
                </c:pt>
              </c:strCache>
            </c:strRef>
          </c:cat>
          <c:val>
            <c:numRef>
              <c:f>Sheet1!$B$3:$F$3</c:f>
              <c:numCache>
                <c:formatCode>0.0%</c:formatCode>
                <c:ptCount val="5"/>
                <c:pt idx="0">
                  <c:v>1.1960000000000002</c:v>
                </c:pt>
                <c:pt idx="1">
                  <c:v>1.139</c:v>
                </c:pt>
                <c:pt idx="2">
                  <c:v>1.1200000000000001</c:v>
                </c:pt>
                <c:pt idx="3">
                  <c:v>1.0920000000000001</c:v>
                </c:pt>
                <c:pt idx="4">
                  <c:v>1.087</c:v>
                </c:pt>
              </c:numCache>
            </c:numRef>
          </c: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4507136"/>
        <c:axId val="114513024"/>
      </c:lineChart>
      <c:catAx>
        <c:axId val="1144985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505600"/>
        <c:crosses val="autoZero"/>
        <c:auto val="0"/>
        <c:lblAlgn val="ctr"/>
        <c:lblOffset val="100"/>
        <c:tickLblSkip val="1"/>
        <c:noMultiLvlLbl val="0"/>
      </c:catAx>
      <c:valAx>
        <c:axId val="114505600"/>
        <c:scaling>
          <c:orientation val="minMax"/>
          <c:min val="15000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498560"/>
        <c:crosses val="autoZero"/>
        <c:crossBetween val="between"/>
        <c:majorUnit val="5000"/>
      </c:valAx>
      <c:catAx>
        <c:axId val="114507136"/>
        <c:scaling>
          <c:orientation val="minMax"/>
        </c:scaling>
        <c:delete val="1"/>
        <c:axPos val="b"/>
        <c:majorTickMark val="out"/>
        <c:minorTickMark val="none"/>
        <c:tickLblPos val="none"/>
        <c:crossAx val="114513024"/>
        <c:crosses val="autoZero"/>
        <c:auto val="0"/>
        <c:lblAlgn val="ctr"/>
        <c:lblOffset val="100"/>
        <c:noMultiLvlLbl val="0"/>
      </c:catAx>
      <c:valAx>
        <c:axId val="114513024"/>
        <c:scaling>
          <c:orientation val="minMax"/>
          <c:max val="1.2"/>
          <c:min val="1"/>
        </c:scaling>
        <c:delete val="0"/>
        <c:axPos val="r"/>
        <c:numFmt formatCode="0.0%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507136"/>
        <c:crosses val="max"/>
        <c:crossBetween val="between"/>
        <c:majorUnit val="0.05"/>
      </c:valAx>
    </c:plotArea>
    <c:legend>
      <c:legendPos val="b"/>
      <c:layout>
        <c:manualLayout>
          <c:xMode val="edge"/>
          <c:yMode val="edge"/>
          <c:x val="0.24811916149993904"/>
          <c:y val="0.82351229976571982"/>
          <c:w val="0.53864603362114416"/>
          <c:h val="0.15025263022312299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d9332f2-de0c-4062-844f-216d7d9e50c8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Прогноз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14.697700000000001</c:v>
                </c:pt>
                <c:pt idx="1">
                  <c:v>14.6455</c:v>
                </c:pt>
                <c:pt idx="2">
                  <c:v>17.972599999999996</c:v>
                </c:pt>
                <c:pt idx="3">
                  <c:v>19.533300000000001</c:v>
                </c:pt>
                <c:pt idx="4">
                  <c:v>23.829799999999995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13.741400000000001</c:v>
                </c:pt>
                <c:pt idx="1">
                  <c:v>15.3208</c:v>
                </c:pt>
                <c:pt idx="2">
                  <c:v>17.648</c:v>
                </c:pt>
                <c:pt idx="3">
                  <c:v>19.921999999999997</c:v>
                </c:pt>
                <c:pt idx="4">
                  <c:v>23.822199999999995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522752"/>
        <c:axId val="114528640"/>
      </c:barChart>
      <c:catAx>
        <c:axId val="1145227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528640"/>
        <c:crosses val="autoZero"/>
        <c:auto val="1"/>
        <c:lblAlgn val="ctr"/>
        <c:lblOffset val="100"/>
        <c:noMultiLvlLbl val="0"/>
      </c:catAx>
      <c:valAx>
        <c:axId val="114528640"/>
        <c:scaling>
          <c:orientation val="minMax"/>
          <c:max val="24"/>
          <c:min val="12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522752"/>
        <c:crosses val="autoZero"/>
        <c:crossBetween val="between"/>
        <c:majorUnit val="2"/>
      </c:valAx>
    </c:plotArea>
    <c:legend>
      <c:legendPos val="b"/>
      <c:layout>
        <c:manualLayout>
          <c:xMode val="edge"/>
          <c:yMode val="edge"/>
          <c:x val="0.40653616214639793"/>
          <c:y val="0.90046462942132188"/>
          <c:w val="0.13368693496646303"/>
          <c:h val="9.9535370578677743E-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b6e4da3-058d-44b1-8ffa-686f5a385b71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217871893086349E-2"/>
          <c:y val="4.1583465883898899E-2"/>
          <c:w val="0.80167597765363718"/>
          <c:h val="0.6002621971565589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Среднесписочная численность работников (без внешних совместителей), тыс. человек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 (факт)</c:v>
                </c:pt>
                <c:pt idx="1">
                  <c:v>2025 год (оценка)  </c:v>
                </c:pt>
                <c:pt idx="2">
                  <c:v>2026 год (прогноз) </c:v>
                </c:pt>
                <c:pt idx="3">
                  <c:v>2027 год (прогноз) </c:v>
                </c:pt>
                <c:pt idx="4">
                  <c:v>2028 год (прогноз)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34.1</c:v>
                </c:pt>
                <c:pt idx="1">
                  <c:v>34.300000000000011</c:v>
                </c:pt>
                <c:pt idx="2">
                  <c:v>34.300000000000011</c:v>
                </c:pt>
                <c:pt idx="3">
                  <c:v>34.300000000000011</c:v>
                </c:pt>
                <c:pt idx="4">
                  <c:v>34.300000000000011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16397952"/>
        <c:axId val="116450048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к предыдущему году </c:v>
                </c:pt>
              </c:strCache>
            </c:strRef>
          </c:tx>
          <c:dLbls>
            <c:dLbl>
              <c:idx val="0"/>
              <c:layout>
                <c:manualLayout>
                  <c:x val="-6.9291109775867582E-2"/>
                  <c:y val="-3.8364875531659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7615231218143917E-2"/>
                  <c:y val="-5.38088096302343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3145912358290798E-2"/>
                  <c:y val="-5.34430068539965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7056481766595094E-2"/>
                  <c:y val="-5.216822959564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3983955164177583E-2"/>
                  <c:y val="-5.5407640969285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Sheet1!$B$1:$F$1</c:f>
              <c:strCache>
                <c:ptCount val="5"/>
                <c:pt idx="0">
                  <c:v>2024 год (факт)</c:v>
                </c:pt>
                <c:pt idx="1">
                  <c:v>2025 год (оценка)  </c:v>
                </c:pt>
                <c:pt idx="2">
                  <c:v>2026 год (прогноз) </c:v>
                </c:pt>
                <c:pt idx="3">
                  <c:v>2027 год (прогноз) </c:v>
                </c:pt>
                <c:pt idx="4">
                  <c:v>2028 год (прогноз)</c:v>
                </c:pt>
              </c:strCache>
            </c:strRef>
          </c:cat>
          <c:val>
            <c:numRef>
              <c:f>Sheet1!$B$3:$F$3</c:f>
              <c:numCache>
                <c:formatCode>0.0%</c:formatCode>
                <c:ptCount val="5"/>
                <c:pt idx="0">
                  <c:v>0.99099999999999999</c:v>
                </c:pt>
                <c:pt idx="1">
                  <c:v>1.006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1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6451968"/>
        <c:axId val="126296448"/>
      </c:lineChart>
      <c:catAx>
        <c:axId val="1163979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450048"/>
        <c:crosses val="autoZero"/>
        <c:auto val="0"/>
        <c:lblAlgn val="ctr"/>
        <c:lblOffset val="100"/>
        <c:tickLblSkip val="1"/>
        <c:noMultiLvlLbl val="0"/>
      </c:catAx>
      <c:valAx>
        <c:axId val="116450048"/>
        <c:scaling>
          <c:orientation val="minMax"/>
          <c:max val="45"/>
          <c:min val="0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ru-RU" b="0">
                    <a:latin typeface="Times New Roman" panose="02020603050405020304" charset="0"/>
                    <a:cs typeface="Times New Roman" panose="02020603050405020304" charset="0"/>
                  </a:rPr>
                  <a:t>млн. руб.</a:t>
                </a:r>
              </a:p>
            </c:rich>
          </c:tx>
          <c:layout>
            <c:manualLayout>
              <c:xMode val="edge"/>
              <c:yMode val="edge"/>
              <c:x val="1.3966480446927504E-2"/>
              <c:y val="0.33620689655172398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397952"/>
        <c:crosses val="autoZero"/>
        <c:crossBetween val="between"/>
        <c:majorUnit val="20"/>
      </c:valAx>
      <c:catAx>
        <c:axId val="116451968"/>
        <c:scaling>
          <c:orientation val="minMax"/>
        </c:scaling>
        <c:delete val="1"/>
        <c:axPos val="b"/>
        <c:majorTickMark val="out"/>
        <c:minorTickMark val="none"/>
        <c:tickLblPos val="none"/>
        <c:crossAx val="126296448"/>
        <c:crosses val="autoZero"/>
        <c:auto val="0"/>
        <c:lblAlgn val="ctr"/>
        <c:lblOffset val="100"/>
        <c:noMultiLvlLbl val="0"/>
      </c:catAx>
      <c:valAx>
        <c:axId val="126296448"/>
        <c:scaling>
          <c:orientation val="minMax"/>
          <c:max val="1.1000000000000001"/>
          <c:min val="0.9"/>
        </c:scaling>
        <c:delete val="0"/>
        <c:axPos val="r"/>
        <c:numFmt formatCode="0.0%" sourceLinked="1"/>
        <c:majorTickMark val="cross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451968"/>
        <c:crosses val="max"/>
        <c:crossBetween val="between"/>
        <c:minorUnit val="0.1"/>
      </c:valAx>
    </c:plotArea>
    <c:legend>
      <c:legendPos val="b"/>
      <c:layout>
        <c:manualLayout>
          <c:xMode val="edge"/>
          <c:yMode val="edge"/>
          <c:x val="7.5717056548881612E-2"/>
          <c:y val="0.82351229976572082"/>
          <c:w val="0.83579838857008015"/>
          <c:h val="0.15025263022312299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9e60c3d-17f7-4e08-b1bc-9983b1a78227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Прогноз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40.4</c:v>
                </c:pt>
                <c:pt idx="1">
                  <c:v>40</c:v>
                </c:pt>
                <c:pt idx="2">
                  <c:v>38</c:v>
                </c:pt>
                <c:pt idx="3">
                  <c:v>35.5</c:v>
                </c:pt>
                <c:pt idx="4">
                  <c:v>34.5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39.9</c:v>
                </c:pt>
                <c:pt idx="1">
                  <c:v>37.200000000000003</c:v>
                </c:pt>
                <c:pt idx="2">
                  <c:v>35.5</c:v>
                </c:pt>
                <c:pt idx="3">
                  <c:v>34.4</c:v>
                </c:pt>
                <c:pt idx="4">
                  <c:v>34.1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474496"/>
        <c:axId val="126509056"/>
      </c:barChart>
      <c:catAx>
        <c:axId val="1264744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509056"/>
        <c:crosses val="autoZero"/>
        <c:auto val="1"/>
        <c:lblAlgn val="ctr"/>
        <c:lblOffset val="100"/>
        <c:noMultiLvlLbl val="0"/>
      </c:catAx>
      <c:valAx>
        <c:axId val="126509056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474496"/>
        <c:crosses val="autoZero"/>
        <c:crossBetween val="between"/>
        <c:majorUnit val="2"/>
      </c:valAx>
    </c:plotArea>
    <c:legend>
      <c:legendPos val="b"/>
      <c:layout>
        <c:manualLayout>
          <c:xMode val="edge"/>
          <c:yMode val="edge"/>
          <c:x val="0.40653616214639793"/>
          <c:y val="0.90046462942132188"/>
          <c:w val="0.13368693496646303"/>
          <c:h val="9.9535370578677743E-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4413e88-de4d-45dd-9c56-dcebc29d4273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5871-95BA-4661-94F3-6CCBA02C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8575</Words>
  <Characters>48878</Characters>
  <Application>Microsoft Office Word</Application>
  <DocSecurity>4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Шереметьева Ольга Михайловна</dc:creator>
  <cp:lastModifiedBy>Шереметьева Ольга Михайловна</cp:lastModifiedBy>
  <cp:revision>2</cp:revision>
  <cp:lastPrinted>2025-10-21T08:50:00Z</cp:lastPrinted>
  <dcterms:created xsi:type="dcterms:W3CDTF">2025-10-22T05:18:00Z</dcterms:created>
  <dcterms:modified xsi:type="dcterms:W3CDTF">2025-10-22T05:18:00Z</dcterms:modified>
</cp:coreProperties>
</file>